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F2A" w14:textId="45B3F53B" w:rsidR="003049F1" w:rsidRDefault="006E7464" w:rsidP="006E7464">
      <w:pPr>
        <w:pStyle w:val="Titre"/>
      </w:pPr>
      <w:commentRangeStart w:id="0"/>
      <w:r>
        <w:t>Procédure</w:t>
      </w:r>
      <w:commentRangeEnd w:id="0"/>
      <w:r>
        <w:rPr>
          <w:rStyle w:val="Marquedecommentaire"/>
          <w:rFonts w:asciiTheme="minorHAnsi" w:eastAsiaTheme="minorHAnsi" w:hAnsiTheme="minorHAnsi" w:cstheme="minorBidi"/>
          <w:spacing w:val="0"/>
          <w:kern w:val="0"/>
        </w:rPr>
        <w:commentReference w:id="0"/>
      </w:r>
      <w:r>
        <w:t xml:space="preserve"> pour la réalisation du TROD angine à l’officine ou au cabinet infirmier</w:t>
      </w:r>
    </w:p>
    <w:p w14:paraId="23D3B3EC" w14:textId="1BF04D6F" w:rsidR="006E7464" w:rsidRPr="006E7464" w:rsidRDefault="006E7464" w:rsidP="006E7464">
      <w:pPr>
        <w:pStyle w:val="Sous-titre"/>
      </w:pPr>
      <w:r>
        <w:t>Dans le cadre de l’application du protocole « odynophagie chez les patients de 6 à 45 ans : protocole de coopération entre médecin généraliste, pharmacie et infirmier diplômés d’état »</w:t>
      </w:r>
    </w:p>
    <w:p w14:paraId="1CE0EF4E" w14:textId="7C4931F0" w:rsidR="006E7464" w:rsidRDefault="006E7464" w:rsidP="006E7464"/>
    <w:tbl>
      <w:tblPr>
        <w:tblStyle w:val="Grilledutableau"/>
        <w:tblW w:w="0" w:type="auto"/>
        <w:tblLook w:val="04A0" w:firstRow="1" w:lastRow="0" w:firstColumn="1" w:lastColumn="0" w:noHBand="0" w:noVBand="1"/>
      </w:tblPr>
      <w:tblGrid>
        <w:gridCol w:w="1413"/>
        <w:gridCol w:w="7649"/>
      </w:tblGrid>
      <w:tr w:rsidR="006E7464" w14:paraId="72E23153" w14:textId="77777777" w:rsidTr="00695E82">
        <w:tc>
          <w:tcPr>
            <w:tcW w:w="1413" w:type="dxa"/>
          </w:tcPr>
          <w:p w14:paraId="04C73765" w14:textId="77777777" w:rsidR="006E7464" w:rsidRDefault="006E7464" w:rsidP="00695E82">
            <w:r>
              <w:t>Qui ?</w:t>
            </w:r>
          </w:p>
        </w:tc>
        <w:tc>
          <w:tcPr>
            <w:tcW w:w="7649" w:type="dxa"/>
          </w:tcPr>
          <w:p w14:paraId="69A4D091" w14:textId="1A16DB55" w:rsidR="006E7464" w:rsidRDefault="006E7464" w:rsidP="00695E82">
            <w:r>
              <w:t>Le pharmacien d’officine ou l’IDE sous la délégation des médecins généralistes de la structure pluriprofessionnelle prenant part au protocole</w:t>
            </w:r>
          </w:p>
        </w:tc>
      </w:tr>
      <w:tr w:rsidR="006E7464" w14:paraId="3DE784B9" w14:textId="77777777" w:rsidTr="00695E82">
        <w:tc>
          <w:tcPr>
            <w:tcW w:w="1413" w:type="dxa"/>
          </w:tcPr>
          <w:p w14:paraId="6A8B3782" w14:textId="77777777" w:rsidR="006E7464" w:rsidRDefault="006E7464" w:rsidP="00695E82">
            <w:r>
              <w:t>Quoi ?</w:t>
            </w:r>
          </w:p>
        </w:tc>
        <w:tc>
          <w:tcPr>
            <w:tcW w:w="7649" w:type="dxa"/>
          </w:tcPr>
          <w:p w14:paraId="79DD67E4" w14:textId="2BBB5647" w:rsidR="006E7464" w:rsidRDefault="006E7464" w:rsidP="00695E82">
            <w:r>
              <w:t xml:space="preserve">Cette procédure vise à décrire ce qui est mis en place pour la réalisation du test rapide </w:t>
            </w:r>
            <w:r w:rsidR="00AB2CA3">
              <w:t>d</w:t>
            </w:r>
            <w:r>
              <w:t>’orientation diagnostique de l’angine dans le cadre de l’application du protocole « Odynophagie chez les patients de 6 à 45 ans : protocole de coopération entre médecin généraliste, pharmacien et infirmier diplômé d’état »</w:t>
            </w:r>
          </w:p>
        </w:tc>
      </w:tr>
      <w:tr w:rsidR="006E7464" w14:paraId="61A66CBB" w14:textId="77777777" w:rsidTr="00695E82">
        <w:tc>
          <w:tcPr>
            <w:tcW w:w="1413" w:type="dxa"/>
          </w:tcPr>
          <w:p w14:paraId="75DB8073" w14:textId="77777777" w:rsidR="006E7464" w:rsidRDefault="006E7464" w:rsidP="00695E82">
            <w:r>
              <w:t>Où ?</w:t>
            </w:r>
          </w:p>
        </w:tc>
        <w:tc>
          <w:tcPr>
            <w:tcW w:w="7649" w:type="dxa"/>
          </w:tcPr>
          <w:p w14:paraId="7DFE26D0" w14:textId="77777777" w:rsidR="006E7464" w:rsidRDefault="006E7464" w:rsidP="006E7464">
            <w:pPr>
              <w:pStyle w:val="Paragraphedeliste"/>
              <w:numPr>
                <w:ilvl w:val="0"/>
                <w:numId w:val="1"/>
              </w:numPr>
            </w:pPr>
            <w:r>
              <w:t>A l’officine, dans le local de confidentialité</w:t>
            </w:r>
          </w:p>
          <w:p w14:paraId="07A50B12" w14:textId="5F228606" w:rsidR="006E7464" w:rsidRDefault="006E7464" w:rsidP="006E7464">
            <w:pPr>
              <w:pStyle w:val="Paragraphedeliste"/>
              <w:numPr>
                <w:ilvl w:val="0"/>
                <w:numId w:val="1"/>
              </w:numPr>
            </w:pPr>
            <w:r>
              <w:t>Au cabinet infirmier</w:t>
            </w:r>
          </w:p>
        </w:tc>
      </w:tr>
      <w:tr w:rsidR="006E7464" w14:paraId="6A6D560A" w14:textId="77777777" w:rsidTr="00695E82">
        <w:tc>
          <w:tcPr>
            <w:tcW w:w="1413" w:type="dxa"/>
          </w:tcPr>
          <w:p w14:paraId="48A63A4E" w14:textId="77777777" w:rsidR="006E7464" w:rsidRDefault="006E7464" w:rsidP="00695E82">
            <w:r>
              <w:t>Quand ?</w:t>
            </w:r>
          </w:p>
        </w:tc>
        <w:tc>
          <w:tcPr>
            <w:tcW w:w="7649" w:type="dxa"/>
          </w:tcPr>
          <w:p w14:paraId="229287B8" w14:textId="16DFE19E" w:rsidR="006E7464" w:rsidRDefault="006E7464" w:rsidP="006E7464">
            <w:r>
              <w:t>Lorsque le pharmacien d’officine ou l’IDE prend en charge un patient dans le cadre</w:t>
            </w:r>
            <w:r w:rsidR="0044672F">
              <w:t xml:space="preserve"> d</w:t>
            </w:r>
            <w:r>
              <w:t>e l’application du protocole « Odynophagie chez les patients de 6 à 45 ans : protocole de coopération entre médecin généraliste, pharmacien et infirmiers diplômés d’état » et que la réalisation d’un TROD angine s’avère nécessaire lors de la prise en charge</w:t>
            </w:r>
          </w:p>
        </w:tc>
      </w:tr>
      <w:tr w:rsidR="006E7464" w14:paraId="00359EFB" w14:textId="77777777" w:rsidTr="00695E82">
        <w:tc>
          <w:tcPr>
            <w:tcW w:w="1413" w:type="dxa"/>
          </w:tcPr>
          <w:p w14:paraId="7F8AA04F" w14:textId="77777777" w:rsidR="006E7464" w:rsidRDefault="006E7464" w:rsidP="00695E82">
            <w:r>
              <w:t>Pourquoi ?</w:t>
            </w:r>
          </w:p>
        </w:tc>
        <w:tc>
          <w:tcPr>
            <w:tcW w:w="7649" w:type="dxa"/>
          </w:tcPr>
          <w:p w14:paraId="0434FF5F" w14:textId="07AC6A29" w:rsidR="006E7464" w:rsidRDefault="008A297A" w:rsidP="00695E82">
            <w:r>
              <w:t>Cette procédure vise à s</w:t>
            </w:r>
            <w:r w:rsidR="00855AC0">
              <w:t xml:space="preserve">écuriser la réalisation du test rapide d’orientation diagnostique de </w:t>
            </w:r>
            <w:r>
              <w:t>l’angine au sein de l’officine ou du cabinet infirmier</w:t>
            </w:r>
          </w:p>
        </w:tc>
      </w:tr>
    </w:tbl>
    <w:p w14:paraId="0424E018" w14:textId="3A7F409E" w:rsidR="006E7464" w:rsidRDefault="006E7464" w:rsidP="006E7464">
      <w:pPr>
        <w:pStyle w:val="Titre1"/>
      </w:pPr>
      <w:r>
        <w:t xml:space="preserve">Documents de référence : </w:t>
      </w:r>
    </w:p>
    <w:p w14:paraId="083734D8" w14:textId="1DD1F3D6" w:rsidR="006E7464" w:rsidRDefault="006E7464" w:rsidP="006E7464">
      <w:pPr>
        <w:pStyle w:val="Paragraphedeliste"/>
        <w:numPr>
          <w:ilvl w:val="0"/>
          <w:numId w:val="1"/>
        </w:numPr>
      </w:pPr>
      <w:r>
        <w:t xml:space="preserve">Arrêté du 1er août 2016 déterminant la liste des tests, recueils et traitements de signaux biologiques qui ne constituent pas un examen de biologie médicale, les catégories de personnes pouvant les réaliser et les conditions de réalisation de certains de ces tests, recueils et traitements de signaux biologiques </w:t>
      </w:r>
    </w:p>
    <w:p w14:paraId="1A842C4A" w14:textId="07007E77" w:rsidR="006E7464" w:rsidRDefault="006E7464" w:rsidP="006E7464">
      <w:pPr>
        <w:pStyle w:val="Paragraphedeliste"/>
        <w:numPr>
          <w:ilvl w:val="0"/>
          <w:numId w:val="1"/>
        </w:numPr>
      </w:pPr>
      <w:r>
        <w:t>Notice du TROD retenu dans le cadre de l’application du protocole</w:t>
      </w:r>
    </w:p>
    <w:p w14:paraId="39004F02" w14:textId="7D336FE8" w:rsidR="006E7464" w:rsidRDefault="006E7464" w:rsidP="006E7464">
      <w:pPr>
        <w:pStyle w:val="Paragraphedeliste"/>
        <w:numPr>
          <w:ilvl w:val="0"/>
          <w:numId w:val="1"/>
        </w:numPr>
      </w:pPr>
      <w:r>
        <w:t>Fiche technique du TDR</w:t>
      </w:r>
      <w:r w:rsidR="0044672F">
        <w:t>D</w:t>
      </w:r>
      <w:r>
        <w:t xml:space="preserve"> retenu dans le cadre de l’application du protocole</w:t>
      </w:r>
    </w:p>
    <w:p w14:paraId="23603604" w14:textId="03B0AE22" w:rsidR="006E7464" w:rsidRDefault="006E7464" w:rsidP="006E7464">
      <w:pPr>
        <w:pStyle w:val="Paragraphedeliste"/>
        <w:numPr>
          <w:ilvl w:val="0"/>
          <w:numId w:val="1"/>
        </w:numPr>
      </w:pPr>
      <w:r>
        <w:t>Liste ANSM des TROD angine</w:t>
      </w:r>
    </w:p>
    <w:p w14:paraId="2C1504D3" w14:textId="29BE7C21" w:rsidR="00221D81" w:rsidRDefault="00221D81" w:rsidP="00221D81"/>
    <w:p w14:paraId="0BACC4CD" w14:textId="112B7009" w:rsidR="00221D81" w:rsidRDefault="00221D81" w:rsidP="00221D81">
      <w:pPr>
        <w:pStyle w:val="Titre1"/>
      </w:pPr>
      <w:r>
        <w:t xml:space="preserve">Définitions </w:t>
      </w:r>
    </w:p>
    <w:p w14:paraId="4A75C643" w14:textId="58F1142C" w:rsidR="00221D81" w:rsidRDefault="00221D81" w:rsidP="00221D81">
      <w:r>
        <w:t xml:space="preserve">TROD pour angine à streptocoque du groupe A : un test rapide d’orientation diagnostique (TROD) pour les angines, ou « test </w:t>
      </w:r>
      <w:proofErr w:type="spellStart"/>
      <w:r>
        <w:t>oropharyngé</w:t>
      </w:r>
      <w:proofErr w:type="spellEnd"/>
      <w:r>
        <w:t> », est un dispositif médical de diagnostic in-vitro conçu pour une utilisation professionnelle afin d’orienter le diagnostic en faveur ou non d’une angine bactérienne à streptocoque du groupe A (SGA).</w:t>
      </w:r>
    </w:p>
    <w:p w14:paraId="0E92F0F5" w14:textId="3632AB0A" w:rsidR="00221D81" w:rsidRDefault="00221D81" w:rsidP="00221D81"/>
    <w:p w14:paraId="307D696F" w14:textId="20C5314E" w:rsidR="00221D81" w:rsidRDefault="00221D81" w:rsidP="00221D81">
      <w:r>
        <w:t>DASRI : Déchet d’activité de soin à risque infectieux (DASRI) désigne les déchets d’activité de soin qui peuvent présenter des risques infectieux, chimiques, toxiques, radioactifs qu’il faut nécessairement maîtriser pour protéger les patients, les personnels de santé ainsi que les agents chargés de l’élimination des déchets et l’environnement.</w:t>
      </w:r>
    </w:p>
    <w:p w14:paraId="5558B7FD" w14:textId="77777777" w:rsidR="00221D81" w:rsidRDefault="00221D81" w:rsidP="00221D81"/>
    <w:p w14:paraId="39E01AD3" w14:textId="46971CB4" w:rsidR="00221D81" w:rsidRDefault="008A297A" w:rsidP="00221D81">
      <w:pPr>
        <w:pStyle w:val="Titre1"/>
      </w:pPr>
      <w:r>
        <w:lastRenderedPageBreak/>
        <w:t xml:space="preserve">Comment ? </w:t>
      </w:r>
      <w:r w:rsidR="00221D81">
        <w:t>Description des processus</w:t>
      </w:r>
    </w:p>
    <w:p w14:paraId="50D875C6" w14:textId="2A72305E" w:rsidR="00221D81" w:rsidRDefault="00221D81" w:rsidP="00221D81">
      <w:pPr>
        <w:pStyle w:val="Titre2"/>
      </w:pPr>
      <w:r>
        <w:t>Équipements</w:t>
      </w:r>
    </w:p>
    <w:p w14:paraId="68F8AD0A" w14:textId="28143E18" w:rsidR="00221D81" w:rsidRPr="00221D81" w:rsidRDefault="00221D81" w:rsidP="00221D81">
      <w:pPr>
        <w:pStyle w:val="Paragraphedeliste"/>
        <w:numPr>
          <w:ilvl w:val="0"/>
          <w:numId w:val="1"/>
        </w:numPr>
      </w:pPr>
      <w:r>
        <w:t xml:space="preserve">Kit TROD angine retenu : </w:t>
      </w:r>
      <w:r w:rsidRPr="00C636CD">
        <w:rPr>
          <w:i/>
          <w:iCs/>
          <w:highlight w:val="yellow"/>
        </w:rPr>
        <w:t>insérer ici la description, le contenu du ki</w:t>
      </w:r>
      <w:r w:rsidR="00C16344" w:rsidRPr="00C636CD">
        <w:rPr>
          <w:i/>
          <w:iCs/>
          <w:highlight w:val="yellow"/>
        </w:rPr>
        <w:t>t</w:t>
      </w:r>
      <w:r w:rsidRPr="00C636CD">
        <w:rPr>
          <w:i/>
          <w:iCs/>
          <w:highlight w:val="yellow"/>
        </w:rPr>
        <w:t xml:space="preserve"> etc…</w:t>
      </w:r>
    </w:p>
    <w:p w14:paraId="34E10AE9" w14:textId="54785215" w:rsidR="00221D81" w:rsidRDefault="00221D81" w:rsidP="00221D81">
      <w:pPr>
        <w:pStyle w:val="Paragraphedeliste"/>
        <w:numPr>
          <w:ilvl w:val="0"/>
          <w:numId w:val="1"/>
        </w:numPr>
      </w:pPr>
      <w:r>
        <w:t>Lampe d’examen</w:t>
      </w:r>
    </w:p>
    <w:p w14:paraId="26F1D4B6" w14:textId="558F196C" w:rsidR="00221D81" w:rsidRDefault="00221D81" w:rsidP="00221D81">
      <w:pPr>
        <w:pStyle w:val="Paragraphedeliste"/>
        <w:numPr>
          <w:ilvl w:val="0"/>
          <w:numId w:val="1"/>
        </w:numPr>
      </w:pPr>
      <w:r>
        <w:t>Abaisse Langue</w:t>
      </w:r>
    </w:p>
    <w:p w14:paraId="6DCF317A" w14:textId="1B33681F" w:rsidR="00221D81" w:rsidRDefault="00221D81" w:rsidP="00221D81">
      <w:pPr>
        <w:pStyle w:val="Paragraphedeliste"/>
        <w:numPr>
          <w:ilvl w:val="0"/>
          <w:numId w:val="1"/>
        </w:numPr>
      </w:pPr>
      <w:r>
        <w:t>Gants à usage unique</w:t>
      </w:r>
    </w:p>
    <w:p w14:paraId="1E2E33B2" w14:textId="46D9623A" w:rsidR="00221D81" w:rsidRDefault="00221D81" w:rsidP="00221D81">
      <w:pPr>
        <w:pStyle w:val="Paragraphedeliste"/>
        <w:numPr>
          <w:ilvl w:val="0"/>
          <w:numId w:val="1"/>
        </w:numPr>
      </w:pPr>
      <w:r>
        <w:t>Masque à usage unique</w:t>
      </w:r>
    </w:p>
    <w:p w14:paraId="4D8D6CA7" w14:textId="480132E9" w:rsidR="00221D81" w:rsidRDefault="00221D81" w:rsidP="00221D81">
      <w:pPr>
        <w:pStyle w:val="Paragraphedeliste"/>
        <w:numPr>
          <w:ilvl w:val="0"/>
          <w:numId w:val="1"/>
        </w:numPr>
      </w:pPr>
      <w:r>
        <w:t>Container à DASRI</w:t>
      </w:r>
    </w:p>
    <w:p w14:paraId="710AE99C" w14:textId="32D41673" w:rsidR="00221D81" w:rsidRDefault="0058738B" w:rsidP="00221D81">
      <w:pPr>
        <w:pStyle w:val="Paragraphedeliste"/>
        <w:numPr>
          <w:ilvl w:val="0"/>
          <w:numId w:val="1"/>
        </w:numPr>
      </w:pPr>
      <w:r>
        <w:t>L’a</w:t>
      </w:r>
      <w:r w:rsidR="00221D81">
        <w:t xml:space="preserve">rbre décisionnel inclus dans le protocole et dans le </w:t>
      </w:r>
      <w:r>
        <w:t xml:space="preserve">document à disposition </w:t>
      </w:r>
      <w:r w:rsidR="00221D81">
        <w:t>« </w:t>
      </w:r>
      <w:r w:rsidRPr="0058738B">
        <w:rPr>
          <w:i/>
          <w:iCs/>
        </w:rPr>
        <w:t>PR. 01.6 – F</w:t>
      </w:r>
      <w:r w:rsidR="00221D81" w:rsidRPr="0058738B">
        <w:rPr>
          <w:i/>
          <w:iCs/>
        </w:rPr>
        <w:t>ormulaire de prise en charge patient</w:t>
      </w:r>
      <w:r w:rsidR="00221D81">
        <w:t> »</w:t>
      </w:r>
    </w:p>
    <w:p w14:paraId="1E86DEBB" w14:textId="41532BB3" w:rsidR="00221D81" w:rsidRDefault="0058738B" w:rsidP="00221D81">
      <w:pPr>
        <w:pStyle w:val="Paragraphedeliste"/>
        <w:numPr>
          <w:ilvl w:val="0"/>
          <w:numId w:val="1"/>
        </w:numPr>
      </w:pPr>
      <w:r>
        <w:t>Le d</w:t>
      </w:r>
      <w:r w:rsidR="00221D81">
        <w:t xml:space="preserve">ocument </w:t>
      </w:r>
      <w:r w:rsidR="00221D81" w:rsidRPr="000F06D7">
        <w:rPr>
          <w:i/>
          <w:iCs/>
        </w:rPr>
        <w:t>« </w:t>
      </w:r>
      <w:r>
        <w:rPr>
          <w:i/>
          <w:iCs/>
        </w:rPr>
        <w:t>E. 02 – S</w:t>
      </w:r>
      <w:r w:rsidR="00221D81" w:rsidRPr="000F06D7">
        <w:rPr>
          <w:i/>
          <w:iCs/>
        </w:rPr>
        <w:t xml:space="preserve">ynthèse de la prise en charge » </w:t>
      </w:r>
      <w:r w:rsidR="00221D81">
        <w:t>remis au patient à la fin de sa prise en charge dans le cadre du protocole</w:t>
      </w:r>
    </w:p>
    <w:p w14:paraId="7D480A9D" w14:textId="2143EED9" w:rsidR="00221D81" w:rsidRDefault="0058738B" w:rsidP="00221D81">
      <w:pPr>
        <w:pStyle w:val="Paragraphedeliste"/>
        <w:numPr>
          <w:ilvl w:val="0"/>
          <w:numId w:val="1"/>
        </w:numPr>
      </w:pPr>
      <w:r>
        <w:t>Le d</w:t>
      </w:r>
      <w:r w:rsidR="00221D81">
        <w:t xml:space="preserve">ocument </w:t>
      </w:r>
      <w:r w:rsidR="00221D81" w:rsidRPr="000F06D7">
        <w:rPr>
          <w:i/>
          <w:iCs/>
        </w:rPr>
        <w:t>« </w:t>
      </w:r>
      <w:r>
        <w:rPr>
          <w:i/>
          <w:iCs/>
        </w:rPr>
        <w:t xml:space="preserve">PR. 01.6 – </w:t>
      </w:r>
      <w:r w:rsidR="00221D81" w:rsidRPr="000F06D7">
        <w:rPr>
          <w:i/>
          <w:iCs/>
        </w:rPr>
        <w:t>Formulaire de prise en charge patient »</w:t>
      </w:r>
      <w:r w:rsidR="00221D81">
        <w:t xml:space="preserve"> inclus dans le dossier médical du patient à la fin de la prise en charge dans le cadre du protocole</w:t>
      </w:r>
    </w:p>
    <w:p w14:paraId="69110BAC" w14:textId="35960D58" w:rsidR="00221D81" w:rsidRDefault="0058738B" w:rsidP="00221D81">
      <w:pPr>
        <w:pStyle w:val="Paragraphedeliste"/>
        <w:numPr>
          <w:ilvl w:val="0"/>
          <w:numId w:val="1"/>
        </w:numPr>
      </w:pPr>
      <w:r>
        <w:t xml:space="preserve">Le document associé </w:t>
      </w:r>
      <w:r w:rsidR="00221D81" w:rsidRPr="000F06D7">
        <w:rPr>
          <w:i/>
          <w:iCs/>
        </w:rPr>
        <w:t>« </w:t>
      </w:r>
      <w:r>
        <w:rPr>
          <w:i/>
          <w:iCs/>
        </w:rPr>
        <w:t xml:space="preserve">P. 01 – </w:t>
      </w:r>
      <w:r w:rsidR="00221D81" w:rsidRPr="000F06D7">
        <w:rPr>
          <w:i/>
          <w:iCs/>
        </w:rPr>
        <w:t>Procédure pratique de prise en charge des patients à l’officine ou au cabinet infirmier »</w:t>
      </w:r>
      <w:r w:rsidR="00221D81">
        <w:t xml:space="preserve"> qui standardise l’application du protocole « </w:t>
      </w:r>
      <w:r w:rsidRPr="0058738B">
        <w:rPr>
          <w:i/>
          <w:iCs/>
        </w:rPr>
        <w:t xml:space="preserve">PR. 01 – </w:t>
      </w:r>
      <w:r w:rsidR="00221D81" w:rsidRPr="0058738B">
        <w:rPr>
          <w:i/>
          <w:iCs/>
        </w:rPr>
        <w:t>Odynophagie chez les patients de 6 à 45 ans : protocole de coopération entre médecin généraliste, pharmacien et infirmiers diplômés d’état </w:t>
      </w:r>
      <w:r w:rsidR="00221D81">
        <w:t>»</w:t>
      </w:r>
    </w:p>
    <w:p w14:paraId="4D930B35" w14:textId="2E0138DE" w:rsidR="00221D81" w:rsidRDefault="00221D81" w:rsidP="00221D81"/>
    <w:p w14:paraId="7FEF6699" w14:textId="2E744319" w:rsidR="00221D81" w:rsidRDefault="00221D81" w:rsidP="00221D81">
      <w:r>
        <w:t>En annexe 1 : inventaire mensuel des équipements</w:t>
      </w:r>
    </w:p>
    <w:p w14:paraId="3D3EE282" w14:textId="3084798F" w:rsidR="00221D81" w:rsidRDefault="00221D81" w:rsidP="00221D81"/>
    <w:p w14:paraId="64478B51" w14:textId="508A8260" w:rsidR="00221D81" w:rsidRDefault="00221D81" w:rsidP="00221D81">
      <w:pPr>
        <w:pStyle w:val="Titre2"/>
      </w:pPr>
      <w:r>
        <w:t>Processus</w:t>
      </w:r>
    </w:p>
    <w:p w14:paraId="5346B012" w14:textId="2AE8222F" w:rsidR="00221D81" w:rsidRDefault="00221D81" w:rsidP="00221D81">
      <w:pPr>
        <w:jc w:val="both"/>
      </w:pPr>
      <w:r>
        <w:t>Le TROD angine est réalisé lorsque le pharmacien d’officine ou l’IDE le juge nécessaire lors de la prise en charge du patient dans le cadre de l’application du protocole « </w:t>
      </w:r>
      <w:r w:rsidR="0058738B" w:rsidRPr="0058738B">
        <w:rPr>
          <w:i/>
          <w:iCs/>
        </w:rPr>
        <w:t xml:space="preserve">PR. 01 – </w:t>
      </w:r>
      <w:r w:rsidRPr="0058738B">
        <w:rPr>
          <w:i/>
          <w:iCs/>
        </w:rPr>
        <w:t>Odynophagie chez les patients de 6 à 45 ans : protocole de coopération entre médecin généraliste, pharmacien et infirmiers diplômés d’état </w:t>
      </w:r>
      <w:r>
        <w:t xml:space="preserve">». </w:t>
      </w:r>
    </w:p>
    <w:p w14:paraId="1FDFB396" w14:textId="77777777" w:rsidR="00221D81" w:rsidRDefault="00221D81" w:rsidP="00221D81">
      <w:pPr>
        <w:jc w:val="both"/>
      </w:pPr>
    </w:p>
    <w:p w14:paraId="437E6A48" w14:textId="450D50E9" w:rsidR="00221D81" w:rsidRDefault="00221D81" w:rsidP="00221D81">
      <w:pPr>
        <w:jc w:val="both"/>
      </w:pPr>
      <w:r>
        <w:t xml:space="preserve">Pour cela, le professionnel suit </w:t>
      </w:r>
      <w:r w:rsidR="00322769">
        <w:t>le document à disposition</w:t>
      </w:r>
      <w:r>
        <w:t xml:space="preserve"> </w:t>
      </w:r>
      <w:r w:rsidRPr="000F06D7">
        <w:rPr>
          <w:i/>
          <w:iCs/>
        </w:rPr>
        <w:t>« </w:t>
      </w:r>
      <w:r w:rsidR="0058738B">
        <w:rPr>
          <w:i/>
          <w:iCs/>
        </w:rPr>
        <w:t xml:space="preserve">P. 01 – </w:t>
      </w:r>
      <w:r w:rsidRPr="000F06D7">
        <w:rPr>
          <w:i/>
          <w:iCs/>
        </w:rPr>
        <w:t>Procédure pratique de prise en charge des patients à l’officine ou au cabinet infirmier »</w:t>
      </w:r>
      <w:r>
        <w:t xml:space="preserve">. Le suivi de cette procédure permet de poser l’indication de la réalisation d’un TROD angine au patient en fonction des données de l’anamnèse et des observations cliniques. </w:t>
      </w:r>
    </w:p>
    <w:p w14:paraId="64CF4909" w14:textId="7F31DADF" w:rsidR="00221D81" w:rsidRDefault="00221D81" w:rsidP="00221D81">
      <w:pPr>
        <w:jc w:val="both"/>
      </w:pPr>
    </w:p>
    <w:p w14:paraId="759B4A0F" w14:textId="77777777" w:rsidR="000F06D7" w:rsidRDefault="000F06D7" w:rsidP="00221D81">
      <w:pPr>
        <w:jc w:val="both"/>
      </w:pPr>
    </w:p>
    <w:p w14:paraId="58281471" w14:textId="34888D23" w:rsidR="00221D81" w:rsidRDefault="00221D81" w:rsidP="00221D81">
      <w:pPr>
        <w:jc w:val="both"/>
      </w:pPr>
      <w:r>
        <w:t xml:space="preserve">Une fois l’indication posée, le pharmacien ou l’IDE réalise le test dans le respect des recommandations du fabricant du test et interprète les résultats : </w:t>
      </w:r>
    </w:p>
    <w:p w14:paraId="67A797FC" w14:textId="229BBA08" w:rsidR="00221D81" w:rsidRDefault="00221D81" w:rsidP="00221D81">
      <w:pPr>
        <w:pStyle w:val="Paragraphedeliste"/>
        <w:numPr>
          <w:ilvl w:val="0"/>
          <w:numId w:val="1"/>
        </w:numPr>
      </w:pPr>
      <w:r>
        <w:t>Positif</w:t>
      </w:r>
    </w:p>
    <w:p w14:paraId="4B3C8113" w14:textId="5DF83020" w:rsidR="00221D81" w:rsidRDefault="00221D81" w:rsidP="00221D81">
      <w:pPr>
        <w:pStyle w:val="Paragraphedeliste"/>
        <w:numPr>
          <w:ilvl w:val="0"/>
          <w:numId w:val="1"/>
        </w:numPr>
      </w:pPr>
      <w:r>
        <w:t>Négatif</w:t>
      </w:r>
    </w:p>
    <w:p w14:paraId="155B238E" w14:textId="2CC9D221" w:rsidR="00221D81" w:rsidRDefault="00221D81" w:rsidP="00221D81">
      <w:pPr>
        <w:pStyle w:val="Paragraphedeliste"/>
        <w:numPr>
          <w:ilvl w:val="0"/>
          <w:numId w:val="1"/>
        </w:numPr>
      </w:pPr>
      <w:r>
        <w:t>Impossible à réaliser</w:t>
      </w:r>
    </w:p>
    <w:p w14:paraId="1A8A9CE6" w14:textId="77777777" w:rsidR="00221D81" w:rsidRDefault="00221D81" w:rsidP="00221D81">
      <w:pPr>
        <w:jc w:val="both"/>
      </w:pPr>
    </w:p>
    <w:p w14:paraId="64273857" w14:textId="07491125" w:rsidR="00221D81" w:rsidRDefault="00221D81" w:rsidP="00221D81">
      <w:pPr>
        <w:jc w:val="both"/>
      </w:pPr>
      <w:r>
        <w:t xml:space="preserve">Le professionnel de santé consigne les résultats ainsi que les données du test (Marque, modèle, </w:t>
      </w:r>
      <w:proofErr w:type="spellStart"/>
      <w:r>
        <w:t>n°de</w:t>
      </w:r>
      <w:proofErr w:type="spellEnd"/>
      <w:r>
        <w:t xml:space="preserve"> lot et date de péremption)  </w:t>
      </w:r>
    </w:p>
    <w:p w14:paraId="129A7832" w14:textId="66FFD98A" w:rsidR="00221D81" w:rsidRPr="00221D81" w:rsidRDefault="00221D81" w:rsidP="00221D81">
      <w:pPr>
        <w:pStyle w:val="Paragraphedeliste"/>
        <w:numPr>
          <w:ilvl w:val="0"/>
          <w:numId w:val="1"/>
        </w:numPr>
        <w:rPr>
          <w:b/>
          <w:bCs/>
        </w:rPr>
      </w:pPr>
      <w:r>
        <w:t>Dans le</w:t>
      </w:r>
      <w:r w:rsidR="0058738B">
        <w:t xml:space="preserve"> document associé</w:t>
      </w:r>
      <w:r>
        <w:t xml:space="preserve"> « </w:t>
      </w:r>
      <w:r w:rsidR="0058738B">
        <w:t xml:space="preserve">PR. 01.6 – </w:t>
      </w:r>
      <w:r w:rsidRPr="0044672F">
        <w:rPr>
          <w:i/>
          <w:iCs/>
        </w:rPr>
        <w:t>Formulaire de prise en charge patient</w:t>
      </w:r>
      <w:r>
        <w:t> » </w:t>
      </w:r>
      <w:r>
        <w:sym w:font="Wingdings" w:char="F0E0"/>
      </w:r>
      <w:r>
        <w:t xml:space="preserve"> </w:t>
      </w:r>
      <w:r w:rsidR="0044672F" w:rsidRPr="0044672F">
        <w:rPr>
          <w:b/>
          <w:bCs/>
        </w:rPr>
        <w:t>traçabilité de la réalisation du test</w:t>
      </w:r>
    </w:p>
    <w:p w14:paraId="5EB54C0A" w14:textId="25D47027" w:rsidR="00221D81" w:rsidRDefault="00221D81" w:rsidP="00221D81">
      <w:pPr>
        <w:pStyle w:val="Paragraphedeliste"/>
        <w:numPr>
          <w:ilvl w:val="0"/>
          <w:numId w:val="1"/>
        </w:numPr>
        <w:rPr>
          <w:b/>
          <w:bCs/>
        </w:rPr>
      </w:pPr>
      <w:r>
        <w:t xml:space="preserve">Dans </w:t>
      </w:r>
      <w:r w:rsidR="0058738B">
        <w:t>le document associé</w:t>
      </w:r>
      <w:r>
        <w:t xml:space="preserve"> « </w:t>
      </w:r>
      <w:r w:rsidR="0058738B" w:rsidRPr="0058738B">
        <w:rPr>
          <w:i/>
          <w:iCs/>
        </w:rPr>
        <w:t>E. 02 – S</w:t>
      </w:r>
      <w:r w:rsidRPr="0058738B">
        <w:rPr>
          <w:i/>
          <w:iCs/>
        </w:rPr>
        <w:t>ynthèse de la prise en charge</w:t>
      </w:r>
      <w:r>
        <w:t> » </w:t>
      </w:r>
      <w:r>
        <w:sym w:font="Wingdings" w:char="F0E0"/>
      </w:r>
      <w:r>
        <w:t xml:space="preserve"> </w:t>
      </w:r>
      <w:r w:rsidR="0044672F" w:rsidRPr="00221D81">
        <w:rPr>
          <w:b/>
          <w:bCs/>
        </w:rPr>
        <w:t>communication des résultats au patient</w:t>
      </w:r>
    </w:p>
    <w:p w14:paraId="12477291" w14:textId="5E721894" w:rsidR="0044672F" w:rsidRDefault="0044672F" w:rsidP="00221D81">
      <w:pPr>
        <w:pStyle w:val="Paragraphedeliste"/>
        <w:numPr>
          <w:ilvl w:val="0"/>
          <w:numId w:val="1"/>
        </w:numPr>
        <w:rPr>
          <w:b/>
          <w:bCs/>
        </w:rPr>
      </w:pPr>
      <w:r>
        <w:t xml:space="preserve">Dans le </w:t>
      </w:r>
      <w:r w:rsidR="0058738B">
        <w:t>document associé</w:t>
      </w:r>
      <w:r>
        <w:t xml:space="preserve"> « </w:t>
      </w:r>
      <w:r w:rsidR="0058738B" w:rsidRPr="0058738B">
        <w:rPr>
          <w:i/>
          <w:iCs/>
        </w:rPr>
        <w:t>E. 04 – T</w:t>
      </w:r>
      <w:r w:rsidRPr="0058738B">
        <w:rPr>
          <w:i/>
          <w:iCs/>
        </w:rPr>
        <w:t>raçabilité des prises en charge patient</w:t>
      </w:r>
      <w:r>
        <w:t xml:space="preserve"> » </w:t>
      </w:r>
      <w:r>
        <w:sym w:font="Wingdings" w:char="F0E0"/>
      </w:r>
      <w:r>
        <w:t xml:space="preserve"> </w:t>
      </w:r>
      <w:r>
        <w:rPr>
          <w:b/>
          <w:bCs/>
        </w:rPr>
        <w:t>traçabilité de la réalisation du test</w:t>
      </w:r>
    </w:p>
    <w:p w14:paraId="1F762BCB" w14:textId="77777777" w:rsidR="0044672F" w:rsidRPr="0044672F" w:rsidRDefault="0044672F" w:rsidP="0044672F">
      <w:pPr>
        <w:rPr>
          <w:b/>
          <w:bCs/>
        </w:rPr>
      </w:pPr>
    </w:p>
    <w:p w14:paraId="63EAFEFC" w14:textId="0725ABE3" w:rsidR="00221D81" w:rsidRPr="00221D81" w:rsidRDefault="00221D81" w:rsidP="00221D81">
      <w:r>
        <w:t xml:space="preserve">Une fois le test réalisé, le pharmacien d’officine ou l’IDE élimine dans la filière DASRI les déchets qui ont été en contact avec des liquides biologiques </w:t>
      </w:r>
    </w:p>
    <w:p w14:paraId="6CB8894B" w14:textId="1C9A248A" w:rsidR="00221D81" w:rsidRDefault="00221D81" w:rsidP="00221D81"/>
    <w:p w14:paraId="106CADD3" w14:textId="7D5AA984" w:rsidR="00221D81" w:rsidRDefault="000F06D7" w:rsidP="00221D81">
      <w:r>
        <w:t xml:space="preserve">Le résumé de la prise en charge se situe en </w:t>
      </w:r>
      <w:r w:rsidR="00221D81">
        <w:t>Annexe 2 : diagramme décisionnel</w:t>
      </w:r>
      <w:r>
        <w:t xml:space="preserve"> de prise en charge</w:t>
      </w:r>
    </w:p>
    <w:p w14:paraId="56D6323A" w14:textId="77777777" w:rsidR="00221D81" w:rsidRDefault="00221D81">
      <w:r>
        <w:br w:type="page"/>
      </w:r>
    </w:p>
    <w:p w14:paraId="0C03789C" w14:textId="36F6235F" w:rsidR="00221D81" w:rsidRDefault="00221D81" w:rsidP="00221D81">
      <w:pPr>
        <w:pStyle w:val="Titre1"/>
      </w:pPr>
      <w:r>
        <w:lastRenderedPageBreak/>
        <w:t>Annexe 1 : Inventaire mensuel des équipements</w:t>
      </w:r>
      <w:r w:rsidR="000753A1">
        <w:t xml:space="preserve"> et documents</w:t>
      </w:r>
    </w:p>
    <w:p w14:paraId="16BFE1DC" w14:textId="604FEB53" w:rsidR="00221D81" w:rsidRDefault="00221D81" w:rsidP="00221D81">
      <w:pPr>
        <w:pStyle w:val="Titre2"/>
        <w:jc w:val="center"/>
      </w:pPr>
      <w:r>
        <w:t>Mois de … 20…</w:t>
      </w:r>
    </w:p>
    <w:p w14:paraId="23595B8E" w14:textId="408A5A88" w:rsidR="00221D81" w:rsidRDefault="00221D81" w:rsidP="00221D81">
      <w:pPr>
        <w:pStyle w:val="Titre2"/>
      </w:pPr>
      <w:r>
        <w:t>Équipements</w:t>
      </w:r>
    </w:p>
    <w:p w14:paraId="31B3483D" w14:textId="45E7270C" w:rsidR="00221D81" w:rsidRDefault="00221D81" w:rsidP="00221D81"/>
    <w:tbl>
      <w:tblPr>
        <w:tblStyle w:val="Grilledutableau"/>
        <w:tblW w:w="0" w:type="auto"/>
        <w:tblLook w:val="04A0" w:firstRow="1" w:lastRow="0" w:firstColumn="1" w:lastColumn="0" w:noHBand="0" w:noVBand="1"/>
      </w:tblPr>
      <w:tblGrid>
        <w:gridCol w:w="3114"/>
        <w:gridCol w:w="1982"/>
        <w:gridCol w:w="1983"/>
        <w:gridCol w:w="1983"/>
      </w:tblGrid>
      <w:tr w:rsidR="000753A1" w14:paraId="778E3B97" w14:textId="7CDEA8CA" w:rsidTr="000753A1">
        <w:trPr>
          <w:trHeight w:val="618"/>
        </w:trPr>
        <w:tc>
          <w:tcPr>
            <w:tcW w:w="3114" w:type="dxa"/>
            <w:vAlign w:val="center"/>
          </w:tcPr>
          <w:p w14:paraId="1DD9CBB2" w14:textId="31FE861A" w:rsidR="000753A1" w:rsidRPr="00221D81" w:rsidRDefault="000753A1" w:rsidP="00221D81">
            <w:pPr>
              <w:jc w:val="center"/>
              <w:rPr>
                <w:b/>
                <w:bCs/>
              </w:rPr>
            </w:pPr>
            <w:r>
              <w:rPr>
                <w:b/>
                <w:bCs/>
              </w:rPr>
              <w:t>Liste des équipements</w:t>
            </w:r>
          </w:p>
        </w:tc>
        <w:tc>
          <w:tcPr>
            <w:tcW w:w="1982" w:type="dxa"/>
            <w:vAlign w:val="center"/>
          </w:tcPr>
          <w:p w14:paraId="47684068" w14:textId="2E104F8C" w:rsidR="000753A1" w:rsidRPr="00221D81" w:rsidRDefault="000753A1" w:rsidP="00221D81">
            <w:pPr>
              <w:jc w:val="center"/>
              <w:rPr>
                <w:b/>
                <w:bCs/>
              </w:rPr>
            </w:pPr>
            <w:r>
              <w:rPr>
                <w:b/>
                <w:bCs/>
              </w:rPr>
              <w:t>Date de péremption</w:t>
            </w:r>
          </w:p>
        </w:tc>
        <w:tc>
          <w:tcPr>
            <w:tcW w:w="1983" w:type="dxa"/>
            <w:vAlign w:val="center"/>
          </w:tcPr>
          <w:p w14:paraId="057BC055" w14:textId="4FBA7E41" w:rsidR="000753A1" w:rsidRPr="00221D81" w:rsidRDefault="000753A1" w:rsidP="00221D81">
            <w:pPr>
              <w:jc w:val="center"/>
              <w:rPr>
                <w:b/>
                <w:bCs/>
              </w:rPr>
            </w:pPr>
            <w:r>
              <w:rPr>
                <w:b/>
                <w:bCs/>
              </w:rPr>
              <w:t>Inventaire</w:t>
            </w:r>
          </w:p>
        </w:tc>
        <w:tc>
          <w:tcPr>
            <w:tcW w:w="1983" w:type="dxa"/>
            <w:vAlign w:val="center"/>
          </w:tcPr>
          <w:p w14:paraId="0D498287" w14:textId="05CA25B4" w:rsidR="000753A1" w:rsidRDefault="000753A1" w:rsidP="000753A1">
            <w:pPr>
              <w:jc w:val="center"/>
              <w:rPr>
                <w:b/>
                <w:bCs/>
              </w:rPr>
            </w:pPr>
            <w:r>
              <w:rPr>
                <w:b/>
                <w:bCs/>
              </w:rPr>
              <w:t>Observations – remarques</w:t>
            </w:r>
          </w:p>
          <w:p w14:paraId="04FE48A5" w14:textId="6B253405" w:rsidR="000753A1" w:rsidRPr="000753A1" w:rsidRDefault="000753A1" w:rsidP="000753A1">
            <w:pPr>
              <w:jc w:val="center"/>
            </w:pPr>
          </w:p>
        </w:tc>
      </w:tr>
      <w:tr w:rsidR="000753A1" w14:paraId="6DE86BD4" w14:textId="2A358DC7" w:rsidTr="000753A1">
        <w:trPr>
          <w:trHeight w:val="618"/>
        </w:trPr>
        <w:tc>
          <w:tcPr>
            <w:tcW w:w="3114" w:type="dxa"/>
            <w:vAlign w:val="center"/>
          </w:tcPr>
          <w:p w14:paraId="67FD9C35" w14:textId="01ED380A" w:rsidR="000753A1" w:rsidRPr="00221D81" w:rsidRDefault="000753A1" w:rsidP="00221D81">
            <w:pPr>
              <w:jc w:val="center"/>
            </w:pPr>
            <w:r>
              <w:t>Kits TROD retenu</w:t>
            </w:r>
          </w:p>
        </w:tc>
        <w:tc>
          <w:tcPr>
            <w:tcW w:w="1982" w:type="dxa"/>
            <w:vAlign w:val="center"/>
          </w:tcPr>
          <w:p w14:paraId="075E9CB6" w14:textId="77777777" w:rsidR="000753A1" w:rsidRPr="00221D81" w:rsidRDefault="000753A1" w:rsidP="00221D81">
            <w:pPr>
              <w:jc w:val="center"/>
            </w:pPr>
          </w:p>
        </w:tc>
        <w:tc>
          <w:tcPr>
            <w:tcW w:w="1983" w:type="dxa"/>
            <w:vAlign w:val="center"/>
          </w:tcPr>
          <w:p w14:paraId="53AEA478" w14:textId="77777777" w:rsidR="000753A1" w:rsidRPr="00221D81" w:rsidRDefault="000753A1" w:rsidP="00221D81">
            <w:pPr>
              <w:jc w:val="center"/>
            </w:pPr>
          </w:p>
        </w:tc>
        <w:tc>
          <w:tcPr>
            <w:tcW w:w="1983" w:type="dxa"/>
          </w:tcPr>
          <w:p w14:paraId="638CC8BB" w14:textId="77777777" w:rsidR="000753A1" w:rsidRPr="00221D81" w:rsidRDefault="000753A1" w:rsidP="00221D81">
            <w:pPr>
              <w:jc w:val="center"/>
            </w:pPr>
          </w:p>
        </w:tc>
      </w:tr>
      <w:tr w:rsidR="000753A1" w14:paraId="7703514C" w14:textId="2AFDAC0A" w:rsidTr="000753A1">
        <w:trPr>
          <w:trHeight w:val="618"/>
        </w:trPr>
        <w:tc>
          <w:tcPr>
            <w:tcW w:w="3114" w:type="dxa"/>
            <w:vAlign w:val="center"/>
          </w:tcPr>
          <w:p w14:paraId="68B96826" w14:textId="4DC4E85D" w:rsidR="000753A1" w:rsidRDefault="000753A1" w:rsidP="00221D81">
            <w:pPr>
              <w:jc w:val="center"/>
            </w:pPr>
            <w:r>
              <w:t>Lampe d’examen</w:t>
            </w:r>
          </w:p>
        </w:tc>
        <w:tc>
          <w:tcPr>
            <w:tcW w:w="1982" w:type="dxa"/>
            <w:vAlign w:val="center"/>
          </w:tcPr>
          <w:p w14:paraId="2BDD73F0" w14:textId="77777777" w:rsidR="000753A1" w:rsidRPr="00221D81" w:rsidRDefault="000753A1" w:rsidP="00221D81">
            <w:pPr>
              <w:jc w:val="center"/>
            </w:pPr>
          </w:p>
        </w:tc>
        <w:tc>
          <w:tcPr>
            <w:tcW w:w="1983" w:type="dxa"/>
            <w:vAlign w:val="center"/>
          </w:tcPr>
          <w:p w14:paraId="69B59ADF" w14:textId="77777777" w:rsidR="000753A1" w:rsidRPr="00221D81" w:rsidRDefault="000753A1" w:rsidP="00221D81">
            <w:pPr>
              <w:jc w:val="center"/>
            </w:pPr>
          </w:p>
        </w:tc>
        <w:tc>
          <w:tcPr>
            <w:tcW w:w="1983" w:type="dxa"/>
          </w:tcPr>
          <w:p w14:paraId="60BDCA02" w14:textId="77777777" w:rsidR="000753A1" w:rsidRPr="00221D81" w:rsidRDefault="000753A1" w:rsidP="00221D81">
            <w:pPr>
              <w:jc w:val="center"/>
            </w:pPr>
          </w:p>
        </w:tc>
      </w:tr>
      <w:tr w:rsidR="000753A1" w14:paraId="62308752" w14:textId="6BFB886A" w:rsidTr="000753A1">
        <w:trPr>
          <w:trHeight w:val="618"/>
        </w:trPr>
        <w:tc>
          <w:tcPr>
            <w:tcW w:w="3114" w:type="dxa"/>
            <w:vAlign w:val="center"/>
          </w:tcPr>
          <w:p w14:paraId="390AA406" w14:textId="17869CC6" w:rsidR="000753A1" w:rsidRDefault="000753A1" w:rsidP="00221D81">
            <w:pPr>
              <w:jc w:val="center"/>
            </w:pPr>
            <w:r>
              <w:t>Abaisse Langue</w:t>
            </w:r>
          </w:p>
        </w:tc>
        <w:tc>
          <w:tcPr>
            <w:tcW w:w="1982" w:type="dxa"/>
            <w:vAlign w:val="center"/>
          </w:tcPr>
          <w:p w14:paraId="68433FC9" w14:textId="77777777" w:rsidR="000753A1" w:rsidRPr="00221D81" w:rsidRDefault="000753A1" w:rsidP="00221D81">
            <w:pPr>
              <w:jc w:val="center"/>
            </w:pPr>
          </w:p>
        </w:tc>
        <w:tc>
          <w:tcPr>
            <w:tcW w:w="1983" w:type="dxa"/>
            <w:vAlign w:val="center"/>
          </w:tcPr>
          <w:p w14:paraId="76F2F867" w14:textId="77777777" w:rsidR="000753A1" w:rsidRPr="00221D81" w:rsidRDefault="000753A1" w:rsidP="00221D81">
            <w:pPr>
              <w:jc w:val="center"/>
            </w:pPr>
          </w:p>
        </w:tc>
        <w:tc>
          <w:tcPr>
            <w:tcW w:w="1983" w:type="dxa"/>
          </w:tcPr>
          <w:p w14:paraId="2BAD349C" w14:textId="77777777" w:rsidR="000753A1" w:rsidRPr="00221D81" w:rsidRDefault="000753A1" w:rsidP="00221D81">
            <w:pPr>
              <w:jc w:val="center"/>
            </w:pPr>
          </w:p>
        </w:tc>
      </w:tr>
      <w:tr w:rsidR="000753A1" w14:paraId="253CE61A" w14:textId="2EC7FFF1" w:rsidTr="000753A1">
        <w:trPr>
          <w:trHeight w:val="618"/>
        </w:trPr>
        <w:tc>
          <w:tcPr>
            <w:tcW w:w="3114" w:type="dxa"/>
            <w:vAlign w:val="center"/>
          </w:tcPr>
          <w:p w14:paraId="203A2948" w14:textId="51238D16" w:rsidR="000753A1" w:rsidRDefault="000753A1" w:rsidP="00221D81">
            <w:pPr>
              <w:jc w:val="center"/>
            </w:pPr>
            <w:r>
              <w:t>Gants à usage unique</w:t>
            </w:r>
          </w:p>
        </w:tc>
        <w:tc>
          <w:tcPr>
            <w:tcW w:w="1982" w:type="dxa"/>
            <w:vAlign w:val="center"/>
          </w:tcPr>
          <w:p w14:paraId="724E6567" w14:textId="77777777" w:rsidR="000753A1" w:rsidRPr="00221D81" w:rsidRDefault="000753A1" w:rsidP="00221D81">
            <w:pPr>
              <w:jc w:val="center"/>
            </w:pPr>
          </w:p>
        </w:tc>
        <w:tc>
          <w:tcPr>
            <w:tcW w:w="1983" w:type="dxa"/>
            <w:vAlign w:val="center"/>
          </w:tcPr>
          <w:p w14:paraId="44950DBD" w14:textId="77777777" w:rsidR="000753A1" w:rsidRPr="00221D81" w:rsidRDefault="000753A1" w:rsidP="00221D81">
            <w:pPr>
              <w:jc w:val="center"/>
            </w:pPr>
          </w:p>
        </w:tc>
        <w:tc>
          <w:tcPr>
            <w:tcW w:w="1983" w:type="dxa"/>
          </w:tcPr>
          <w:p w14:paraId="49B28E07" w14:textId="77777777" w:rsidR="000753A1" w:rsidRPr="00221D81" w:rsidRDefault="000753A1" w:rsidP="00221D81">
            <w:pPr>
              <w:jc w:val="center"/>
            </w:pPr>
          </w:p>
        </w:tc>
      </w:tr>
      <w:tr w:rsidR="000753A1" w14:paraId="0078AEF6" w14:textId="61FF7556" w:rsidTr="000753A1">
        <w:trPr>
          <w:trHeight w:val="618"/>
        </w:trPr>
        <w:tc>
          <w:tcPr>
            <w:tcW w:w="3114" w:type="dxa"/>
            <w:vAlign w:val="center"/>
          </w:tcPr>
          <w:p w14:paraId="208402B4" w14:textId="01D4C797" w:rsidR="000753A1" w:rsidRDefault="000753A1" w:rsidP="00221D81">
            <w:pPr>
              <w:jc w:val="center"/>
            </w:pPr>
            <w:r>
              <w:t>Masques à usage unique</w:t>
            </w:r>
          </w:p>
        </w:tc>
        <w:tc>
          <w:tcPr>
            <w:tcW w:w="1982" w:type="dxa"/>
            <w:vAlign w:val="center"/>
          </w:tcPr>
          <w:p w14:paraId="03687E53" w14:textId="77777777" w:rsidR="000753A1" w:rsidRPr="00221D81" w:rsidRDefault="000753A1" w:rsidP="00221D81">
            <w:pPr>
              <w:jc w:val="center"/>
            </w:pPr>
          </w:p>
        </w:tc>
        <w:tc>
          <w:tcPr>
            <w:tcW w:w="1983" w:type="dxa"/>
            <w:vAlign w:val="center"/>
          </w:tcPr>
          <w:p w14:paraId="5AC2DBD7" w14:textId="77777777" w:rsidR="000753A1" w:rsidRPr="00221D81" w:rsidRDefault="000753A1" w:rsidP="00221D81">
            <w:pPr>
              <w:jc w:val="center"/>
            </w:pPr>
          </w:p>
        </w:tc>
        <w:tc>
          <w:tcPr>
            <w:tcW w:w="1983" w:type="dxa"/>
          </w:tcPr>
          <w:p w14:paraId="2045596F" w14:textId="77777777" w:rsidR="000753A1" w:rsidRPr="00221D81" w:rsidRDefault="000753A1" w:rsidP="00221D81">
            <w:pPr>
              <w:jc w:val="center"/>
            </w:pPr>
          </w:p>
        </w:tc>
      </w:tr>
      <w:tr w:rsidR="000753A1" w14:paraId="72C95CD6" w14:textId="1F84AE19" w:rsidTr="000753A1">
        <w:trPr>
          <w:trHeight w:val="618"/>
        </w:trPr>
        <w:tc>
          <w:tcPr>
            <w:tcW w:w="3114" w:type="dxa"/>
            <w:vAlign w:val="center"/>
          </w:tcPr>
          <w:p w14:paraId="093EC242" w14:textId="795F8620" w:rsidR="000753A1" w:rsidRDefault="000753A1" w:rsidP="00221D81">
            <w:pPr>
              <w:jc w:val="center"/>
            </w:pPr>
            <w:r>
              <w:t>Containers DASRI</w:t>
            </w:r>
          </w:p>
        </w:tc>
        <w:tc>
          <w:tcPr>
            <w:tcW w:w="1982" w:type="dxa"/>
            <w:vAlign w:val="center"/>
          </w:tcPr>
          <w:p w14:paraId="47AF07F0" w14:textId="77777777" w:rsidR="000753A1" w:rsidRPr="00221D81" w:rsidRDefault="000753A1" w:rsidP="00221D81">
            <w:pPr>
              <w:jc w:val="center"/>
            </w:pPr>
          </w:p>
        </w:tc>
        <w:tc>
          <w:tcPr>
            <w:tcW w:w="1983" w:type="dxa"/>
            <w:vAlign w:val="center"/>
          </w:tcPr>
          <w:p w14:paraId="20D0513D" w14:textId="77777777" w:rsidR="000753A1" w:rsidRPr="00221D81" w:rsidRDefault="000753A1" w:rsidP="00221D81">
            <w:pPr>
              <w:jc w:val="center"/>
            </w:pPr>
          </w:p>
        </w:tc>
        <w:tc>
          <w:tcPr>
            <w:tcW w:w="1983" w:type="dxa"/>
          </w:tcPr>
          <w:p w14:paraId="4017C674" w14:textId="77777777" w:rsidR="000753A1" w:rsidRPr="00221D81" w:rsidRDefault="000753A1" w:rsidP="00221D81">
            <w:pPr>
              <w:jc w:val="center"/>
            </w:pPr>
          </w:p>
        </w:tc>
      </w:tr>
    </w:tbl>
    <w:p w14:paraId="0109A6C2" w14:textId="6A4F142D" w:rsidR="00221D81" w:rsidRDefault="00221D81" w:rsidP="00221D81"/>
    <w:p w14:paraId="36F62C58" w14:textId="77777777" w:rsidR="00322769" w:rsidRDefault="00322769" w:rsidP="00322769">
      <w:pPr>
        <w:pStyle w:val="Titre2"/>
      </w:pPr>
      <w:r>
        <w:t>Documents à disposition</w:t>
      </w:r>
    </w:p>
    <w:tbl>
      <w:tblPr>
        <w:tblStyle w:val="Grilledutableau"/>
        <w:tblW w:w="0" w:type="auto"/>
        <w:tblLook w:val="04A0" w:firstRow="1" w:lastRow="0" w:firstColumn="1" w:lastColumn="0" w:noHBand="0" w:noVBand="1"/>
      </w:tblPr>
      <w:tblGrid>
        <w:gridCol w:w="4797"/>
        <w:gridCol w:w="2132"/>
        <w:gridCol w:w="2133"/>
      </w:tblGrid>
      <w:tr w:rsidR="00322769" w14:paraId="446441AF" w14:textId="77777777" w:rsidTr="000753A1">
        <w:tc>
          <w:tcPr>
            <w:tcW w:w="4797" w:type="dxa"/>
            <w:vAlign w:val="center"/>
          </w:tcPr>
          <w:p w14:paraId="589AF7CC" w14:textId="0B27E316" w:rsidR="00322769" w:rsidRPr="00322769" w:rsidRDefault="00322769" w:rsidP="00322769">
            <w:pPr>
              <w:jc w:val="center"/>
              <w:rPr>
                <w:b/>
                <w:bCs/>
              </w:rPr>
            </w:pPr>
            <w:r>
              <w:rPr>
                <w:b/>
                <w:bCs/>
              </w:rPr>
              <w:t>Document</w:t>
            </w:r>
          </w:p>
        </w:tc>
        <w:tc>
          <w:tcPr>
            <w:tcW w:w="2132" w:type="dxa"/>
            <w:vAlign w:val="center"/>
          </w:tcPr>
          <w:p w14:paraId="4C21279F" w14:textId="2C5AB5F9" w:rsidR="00322769" w:rsidRPr="00322769" w:rsidRDefault="00322769" w:rsidP="00322769">
            <w:pPr>
              <w:jc w:val="center"/>
              <w:rPr>
                <w:b/>
                <w:bCs/>
              </w:rPr>
            </w:pPr>
            <w:r>
              <w:rPr>
                <w:b/>
                <w:bCs/>
              </w:rPr>
              <w:t>N° de version à la date d’inventaire</w:t>
            </w:r>
          </w:p>
        </w:tc>
        <w:tc>
          <w:tcPr>
            <w:tcW w:w="2133" w:type="dxa"/>
            <w:vAlign w:val="center"/>
          </w:tcPr>
          <w:p w14:paraId="2EF9E8C9" w14:textId="52DED02B" w:rsidR="00322769" w:rsidRPr="00322769" w:rsidRDefault="00322769" w:rsidP="00322769">
            <w:pPr>
              <w:jc w:val="center"/>
              <w:rPr>
                <w:b/>
                <w:bCs/>
              </w:rPr>
            </w:pPr>
            <w:r>
              <w:rPr>
                <w:b/>
                <w:bCs/>
              </w:rPr>
              <w:t>Date de dernière actualisation</w:t>
            </w:r>
          </w:p>
        </w:tc>
      </w:tr>
      <w:tr w:rsidR="00322769" w14:paraId="3EAF0771" w14:textId="77777777" w:rsidTr="000753A1">
        <w:trPr>
          <w:trHeight w:val="1465"/>
        </w:trPr>
        <w:tc>
          <w:tcPr>
            <w:tcW w:w="4797" w:type="dxa"/>
            <w:vAlign w:val="center"/>
          </w:tcPr>
          <w:p w14:paraId="5538A82C" w14:textId="1961873E" w:rsidR="00322769" w:rsidRPr="00322769" w:rsidRDefault="00322769" w:rsidP="00322769">
            <w:r w:rsidRPr="00322769">
              <w:t>PR. 01.</w:t>
            </w:r>
            <w:r w:rsidR="00CE6B01">
              <w:t>2</w:t>
            </w:r>
            <w:r w:rsidRPr="00322769">
              <w:t xml:space="preserve"> – Formulaire de prise en charge </w:t>
            </w:r>
            <w:r w:rsidR="00CE6B01">
              <w:t xml:space="preserve">du </w:t>
            </w:r>
            <w:r w:rsidRPr="00322769">
              <w:t>patient </w:t>
            </w:r>
          </w:p>
        </w:tc>
        <w:tc>
          <w:tcPr>
            <w:tcW w:w="2132" w:type="dxa"/>
            <w:vAlign w:val="center"/>
          </w:tcPr>
          <w:p w14:paraId="79987267" w14:textId="77777777" w:rsidR="00322769" w:rsidRDefault="00322769" w:rsidP="00322769"/>
        </w:tc>
        <w:tc>
          <w:tcPr>
            <w:tcW w:w="2133" w:type="dxa"/>
            <w:vAlign w:val="center"/>
          </w:tcPr>
          <w:p w14:paraId="6869D220" w14:textId="77777777" w:rsidR="00322769" w:rsidRDefault="00322769" w:rsidP="00322769"/>
        </w:tc>
      </w:tr>
      <w:tr w:rsidR="00322769" w14:paraId="4AEBE5EE" w14:textId="77777777" w:rsidTr="000753A1">
        <w:trPr>
          <w:trHeight w:val="1465"/>
        </w:trPr>
        <w:tc>
          <w:tcPr>
            <w:tcW w:w="4797" w:type="dxa"/>
            <w:vAlign w:val="center"/>
          </w:tcPr>
          <w:p w14:paraId="5BBD5084" w14:textId="6A751EC5" w:rsidR="00322769" w:rsidRPr="00322769" w:rsidRDefault="00322769" w:rsidP="00322769">
            <w:r w:rsidRPr="00322769">
              <w:t>E. 02 – Synthèse de la prise en charge </w:t>
            </w:r>
            <w:r w:rsidR="00CE6B01">
              <w:t>(destinée au patient)</w:t>
            </w:r>
          </w:p>
        </w:tc>
        <w:tc>
          <w:tcPr>
            <w:tcW w:w="2132" w:type="dxa"/>
            <w:vAlign w:val="center"/>
          </w:tcPr>
          <w:p w14:paraId="08C6C953" w14:textId="77777777" w:rsidR="00322769" w:rsidRDefault="00322769" w:rsidP="00322769"/>
        </w:tc>
        <w:tc>
          <w:tcPr>
            <w:tcW w:w="2133" w:type="dxa"/>
            <w:vAlign w:val="center"/>
          </w:tcPr>
          <w:p w14:paraId="4D2621CF" w14:textId="77777777" w:rsidR="00322769" w:rsidRDefault="00322769" w:rsidP="00322769"/>
        </w:tc>
      </w:tr>
      <w:tr w:rsidR="00322769" w14:paraId="119A0593" w14:textId="77777777" w:rsidTr="000753A1">
        <w:trPr>
          <w:trHeight w:val="1465"/>
        </w:trPr>
        <w:tc>
          <w:tcPr>
            <w:tcW w:w="4797" w:type="dxa"/>
            <w:vAlign w:val="center"/>
          </w:tcPr>
          <w:p w14:paraId="56E0AC3C" w14:textId="42CDAD78" w:rsidR="00322769" w:rsidRPr="00322769" w:rsidRDefault="00322769" w:rsidP="00322769">
            <w:r w:rsidRPr="00322769">
              <w:t>P. 01 – Procédure pratique de prise en charge des patients à l’officine ou au cabinet infirmier</w:t>
            </w:r>
          </w:p>
        </w:tc>
        <w:tc>
          <w:tcPr>
            <w:tcW w:w="2132" w:type="dxa"/>
            <w:vAlign w:val="center"/>
          </w:tcPr>
          <w:p w14:paraId="043C4C4C" w14:textId="77777777" w:rsidR="00322769" w:rsidRDefault="00322769" w:rsidP="00322769"/>
        </w:tc>
        <w:tc>
          <w:tcPr>
            <w:tcW w:w="2133" w:type="dxa"/>
            <w:vAlign w:val="center"/>
          </w:tcPr>
          <w:p w14:paraId="1847B290" w14:textId="77777777" w:rsidR="00322769" w:rsidRDefault="00322769" w:rsidP="00322769"/>
        </w:tc>
      </w:tr>
      <w:tr w:rsidR="00322769" w14:paraId="53691407" w14:textId="77777777" w:rsidTr="000753A1">
        <w:trPr>
          <w:trHeight w:val="1465"/>
        </w:trPr>
        <w:tc>
          <w:tcPr>
            <w:tcW w:w="4797" w:type="dxa"/>
            <w:vAlign w:val="center"/>
          </w:tcPr>
          <w:p w14:paraId="5CD481E9" w14:textId="42B1276A" w:rsidR="00322769" w:rsidRPr="00322769" w:rsidRDefault="00322769" w:rsidP="00322769">
            <w:r w:rsidRPr="00322769">
              <w:t xml:space="preserve">PR. 01 – </w:t>
            </w:r>
            <w:r w:rsidR="00CE6B01">
              <w:t>Protocole de coopération « odynophagie chez le patient de 6 à 45 ans »</w:t>
            </w:r>
            <w:r w:rsidRPr="00322769">
              <w:t> </w:t>
            </w:r>
          </w:p>
        </w:tc>
        <w:tc>
          <w:tcPr>
            <w:tcW w:w="2132" w:type="dxa"/>
            <w:vAlign w:val="center"/>
          </w:tcPr>
          <w:p w14:paraId="5F88B99C" w14:textId="77777777" w:rsidR="00322769" w:rsidRDefault="00322769" w:rsidP="00322769"/>
        </w:tc>
        <w:tc>
          <w:tcPr>
            <w:tcW w:w="2133" w:type="dxa"/>
            <w:vAlign w:val="center"/>
          </w:tcPr>
          <w:p w14:paraId="1B457A14" w14:textId="77777777" w:rsidR="00322769" w:rsidRDefault="00322769" w:rsidP="00322769"/>
        </w:tc>
      </w:tr>
    </w:tbl>
    <w:p w14:paraId="76C5E8EC" w14:textId="1D1005F6" w:rsidR="00221D81" w:rsidRDefault="00221D81" w:rsidP="00322769">
      <w:pPr>
        <w:pStyle w:val="Titre2"/>
      </w:pPr>
      <w:r>
        <w:br w:type="page"/>
      </w:r>
    </w:p>
    <w:p w14:paraId="1F07FC44" w14:textId="3AA570B5" w:rsidR="00221D81" w:rsidRDefault="00221D81" w:rsidP="00221D81">
      <w:pPr>
        <w:pStyle w:val="Titre1"/>
      </w:pPr>
      <w:r>
        <w:lastRenderedPageBreak/>
        <w:t>Annexe 2 : Diagramme décisionnel</w:t>
      </w:r>
      <w:r w:rsidR="000F06D7">
        <w:t xml:space="preserve"> de prise en charge</w:t>
      </w:r>
    </w:p>
    <w:p w14:paraId="63FCC285" w14:textId="77777777" w:rsidR="00C16344" w:rsidRPr="00C16344" w:rsidRDefault="00C16344" w:rsidP="00C16344"/>
    <w:p w14:paraId="46BC5112" w14:textId="21D61B45" w:rsidR="00221D81" w:rsidRDefault="00C16344" w:rsidP="00C16344">
      <w:pPr>
        <w:jc w:val="cente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noProof/>
          <w:color w:val="2F5496" w:themeColor="accent1" w:themeShade="BF"/>
          <w:sz w:val="32"/>
          <w:szCs w:val="32"/>
        </w:rPr>
        <w:drawing>
          <wp:inline distT="0" distB="0" distL="0" distR="0" wp14:anchorId="2DE0E741" wp14:editId="09FCC8F2">
            <wp:extent cx="5013678" cy="712470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5022971" cy="7137905"/>
                    </a:xfrm>
                    <a:prstGeom prst="rect">
                      <a:avLst/>
                    </a:prstGeom>
                  </pic:spPr>
                </pic:pic>
              </a:graphicData>
            </a:graphic>
          </wp:inline>
        </w:drawing>
      </w:r>
      <w:r w:rsidR="00221D81">
        <w:br w:type="page"/>
      </w:r>
    </w:p>
    <w:p w14:paraId="0D60094F" w14:textId="77777777" w:rsidR="00554BC9" w:rsidRDefault="00554BC9" w:rsidP="00554BC9">
      <w:pPr>
        <w:pStyle w:val="Titre"/>
      </w:pPr>
      <w:r>
        <w:lastRenderedPageBreak/>
        <w:t>Informations de traçabilité du document</w:t>
      </w:r>
    </w:p>
    <w:p w14:paraId="3851D83E" w14:textId="77777777" w:rsidR="00554BC9" w:rsidRPr="00E16EC1" w:rsidRDefault="00554BC9" w:rsidP="00554BC9"/>
    <w:tbl>
      <w:tblPr>
        <w:tblStyle w:val="Grilledutableau"/>
        <w:tblW w:w="0" w:type="auto"/>
        <w:tblLook w:val="04A0" w:firstRow="1" w:lastRow="0" w:firstColumn="1" w:lastColumn="0" w:noHBand="0" w:noVBand="1"/>
      </w:tblPr>
      <w:tblGrid>
        <w:gridCol w:w="4531"/>
        <w:gridCol w:w="4531"/>
      </w:tblGrid>
      <w:tr w:rsidR="00554BC9" w14:paraId="46CA5804" w14:textId="77777777" w:rsidTr="009E10FA">
        <w:tc>
          <w:tcPr>
            <w:tcW w:w="4531" w:type="dxa"/>
            <w:vAlign w:val="center"/>
          </w:tcPr>
          <w:p w14:paraId="36E1935F" w14:textId="77777777" w:rsidR="00554BC9" w:rsidRPr="00E16EC1" w:rsidRDefault="00554BC9" w:rsidP="009E10FA">
            <w:pPr>
              <w:jc w:val="center"/>
              <w:rPr>
                <w:b/>
                <w:bCs/>
              </w:rPr>
            </w:pPr>
            <w:r w:rsidRPr="00E16EC1">
              <w:rPr>
                <w:b/>
                <w:bCs/>
              </w:rPr>
              <w:t>Nom de la structure pluriprofessionnelle</w:t>
            </w:r>
          </w:p>
        </w:tc>
        <w:tc>
          <w:tcPr>
            <w:tcW w:w="4531" w:type="dxa"/>
            <w:vAlign w:val="center"/>
          </w:tcPr>
          <w:p w14:paraId="06DF7CFB" w14:textId="77777777" w:rsidR="00554BC9" w:rsidRDefault="00554BC9" w:rsidP="009E10FA">
            <w:pPr>
              <w:jc w:val="center"/>
            </w:pPr>
          </w:p>
        </w:tc>
      </w:tr>
      <w:tr w:rsidR="00554BC9" w14:paraId="4F54A654" w14:textId="77777777" w:rsidTr="009E10FA">
        <w:tc>
          <w:tcPr>
            <w:tcW w:w="4531" w:type="dxa"/>
            <w:vAlign w:val="center"/>
          </w:tcPr>
          <w:p w14:paraId="5B9F5915" w14:textId="77777777" w:rsidR="00554BC9" w:rsidRPr="00E16EC1" w:rsidRDefault="00554BC9" w:rsidP="009E10FA">
            <w:pPr>
              <w:jc w:val="center"/>
              <w:rPr>
                <w:b/>
                <w:bCs/>
              </w:rPr>
            </w:pPr>
            <w:r w:rsidRPr="00E16EC1">
              <w:rPr>
                <w:b/>
                <w:bCs/>
              </w:rPr>
              <w:t>Date de rédaction initiale</w:t>
            </w:r>
          </w:p>
        </w:tc>
        <w:tc>
          <w:tcPr>
            <w:tcW w:w="4531" w:type="dxa"/>
            <w:vAlign w:val="center"/>
          </w:tcPr>
          <w:p w14:paraId="0B296D59" w14:textId="77777777" w:rsidR="00554BC9" w:rsidRDefault="00554BC9" w:rsidP="009E10FA">
            <w:pPr>
              <w:jc w:val="center"/>
            </w:pPr>
            <w:r>
              <w:t>30/08/2021</w:t>
            </w:r>
          </w:p>
        </w:tc>
      </w:tr>
      <w:tr w:rsidR="00554BC9" w14:paraId="01A5DB2D" w14:textId="77777777" w:rsidTr="009E10FA">
        <w:tc>
          <w:tcPr>
            <w:tcW w:w="4531" w:type="dxa"/>
            <w:vAlign w:val="center"/>
          </w:tcPr>
          <w:p w14:paraId="7D7DCACA" w14:textId="77777777" w:rsidR="00554BC9" w:rsidRPr="00E16EC1" w:rsidRDefault="00554BC9" w:rsidP="009E10FA">
            <w:pPr>
              <w:jc w:val="center"/>
              <w:rPr>
                <w:b/>
                <w:bCs/>
              </w:rPr>
            </w:pPr>
            <w:r w:rsidRPr="00E16EC1">
              <w:rPr>
                <w:b/>
                <w:bCs/>
              </w:rPr>
              <w:t>Dernière date de révision</w:t>
            </w:r>
          </w:p>
        </w:tc>
        <w:tc>
          <w:tcPr>
            <w:tcW w:w="4531" w:type="dxa"/>
            <w:vAlign w:val="center"/>
          </w:tcPr>
          <w:p w14:paraId="5DD9A543" w14:textId="77777777" w:rsidR="00554BC9" w:rsidRDefault="00554BC9" w:rsidP="009E10FA">
            <w:pPr>
              <w:jc w:val="center"/>
            </w:pPr>
            <w:r>
              <w:t>30/08/2021</w:t>
            </w:r>
          </w:p>
        </w:tc>
      </w:tr>
      <w:tr w:rsidR="00554BC9" w14:paraId="51B9712F" w14:textId="77777777" w:rsidTr="009E10FA">
        <w:tc>
          <w:tcPr>
            <w:tcW w:w="4531" w:type="dxa"/>
            <w:vAlign w:val="center"/>
          </w:tcPr>
          <w:p w14:paraId="52D60D09" w14:textId="77777777" w:rsidR="00554BC9" w:rsidRPr="00E16EC1" w:rsidRDefault="00554BC9" w:rsidP="009E10FA">
            <w:pPr>
              <w:jc w:val="center"/>
              <w:rPr>
                <w:b/>
                <w:bCs/>
              </w:rPr>
            </w:pPr>
            <w:r w:rsidRPr="00E16EC1">
              <w:rPr>
                <w:b/>
                <w:bCs/>
              </w:rPr>
              <w:t>N° de version</w:t>
            </w:r>
            <w:r>
              <w:rPr>
                <w:b/>
                <w:bCs/>
              </w:rPr>
              <w:t xml:space="preserve"> actuel</w:t>
            </w:r>
          </w:p>
        </w:tc>
        <w:tc>
          <w:tcPr>
            <w:tcW w:w="4531" w:type="dxa"/>
            <w:vAlign w:val="center"/>
          </w:tcPr>
          <w:p w14:paraId="78BEFB3E" w14:textId="77777777" w:rsidR="00554BC9" w:rsidRDefault="00554BC9" w:rsidP="009E10FA">
            <w:pPr>
              <w:jc w:val="center"/>
            </w:pPr>
            <w:r>
              <w:t>1</w:t>
            </w:r>
          </w:p>
        </w:tc>
      </w:tr>
      <w:tr w:rsidR="00554BC9" w14:paraId="587E9F02" w14:textId="77777777" w:rsidTr="009E10FA">
        <w:tc>
          <w:tcPr>
            <w:tcW w:w="4531" w:type="dxa"/>
            <w:vAlign w:val="center"/>
          </w:tcPr>
          <w:p w14:paraId="5237F50F" w14:textId="77777777" w:rsidR="00554BC9" w:rsidRPr="00E16EC1" w:rsidRDefault="00554BC9" w:rsidP="009E10FA">
            <w:pPr>
              <w:jc w:val="center"/>
              <w:rPr>
                <w:b/>
                <w:bCs/>
              </w:rPr>
            </w:pPr>
            <w:r w:rsidRPr="00E16EC1">
              <w:rPr>
                <w:b/>
                <w:bCs/>
              </w:rPr>
              <w:t>Nombre de pages</w:t>
            </w:r>
          </w:p>
        </w:tc>
        <w:tc>
          <w:tcPr>
            <w:tcW w:w="4531" w:type="dxa"/>
            <w:vAlign w:val="center"/>
          </w:tcPr>
          <w:p w14:paraId="47C12A3F" w14:textId="77777777" w:rsidR="00554BC9" w:rsidRDefault="00554BC9" w:rsidP="009E10FA">
            <w:pPr>
              <w:jc w:val="center"/>
            </w:pPr>
            <w:r>
              <w:t>5</w:t>
            </w:r>
          </w:p>
        </w:tc>
      </w:tr>
      <w:tr w:rsidR="00554BC9" w14:paraId="48A1BCB5" w14:textId="77777777" w:rsidTr="009E10FA">
        <w:tc>
          <w:tcPr>
            <w:tcW w:w="4531" w:type="dxa"/>
            <w:vAlign w:val="center"/>
          </w:tcPr>
          <w:p w14:paraId="0CA6EDB1" w14:textId="77777777" w:rsidR="00554BC9" w:rsidRPr="00E16EC1" w:rsidRDefault="00554BC9" w:rsidP="009E10FA">
            <w:pPr>
              <w:jc w:val="center"/>
              <w:rPr>
                <w:b/>
                <w:bCs/>
              </w:rPr>
            </w:pPr>
            <w:r w:rsidRPr="00E16EC1">
              <w:rPr>
                <w:b/>
                <w:bCs/>
              </w:rPr>
              <w:t>Date de validation</w:t>
            </w:r>
          </w:p>
        </w:tc>
        <w:tc>
          <w:tcPr>
            <w:tcW w:w="4531" w:type="dxa"/>
            <w:vAlign w:val="center"/>
          </w:tcPr>
          <w:p w14:paraId="7AF94A3B" w14:textId="77777777" w:rsidR="00554BC9" w:rsidRDefault="00554BC9" w:rsidP="009E10FA">
            <w:pPr>
              <w:jc w:val="center"/>
            </w:pPr>
            <w:r>
              <w:t>30/08/2021</w:t>
            </w:r>
          </w:p>
        </w:tc>
      </w:tr>
      <w:tr w:rsidR="00554BC9" w14:paraId="46EF0C3F" w14:textId="77777777" w:rsidTr="009E10FA">
        <w:tc>
          <w:tcPr>
            <w:tcW w:w="4531" w:type="dxa"/>
            <w:vAlign w:val="center"/>
          </w:tcPr>
          <w:p w14:paraId="7FD14E95" w14:textId="77777777" w:rsidR="00554BC9" w:rsidRPr="00E16EC1" w:rsidRDefault="00554BC9" w:rsidP="009E10FA">
            <w:pPr>
              <w:jc w:val="center"/>
              <w:rPr>
                <w:b/>
                <w:bCs/>
              </w:rPr>
            </w:pPr>
            <w:r w:rsidRPr="00E16EC1">
              <w:rPr>
                <w:b/>
                <w:bCs/>
              </w:rPr>
              <w:t>Référence du document</w:t>
            </w:r>
          </w:p>
        </w:tc>
        <w:tc>
          <w:tcPr>
            <w:tcW w:w="4531" w:type="dxa"/>
            <w:vAlign w:val="center"/>
          </w:tcPr>
          <w:p w14:paraId="1BC09A60" w14:textId="73E21998" w:rsidR="00554BC9" w:rsidRDefault="00554BC9" w:rsidP="009E10FA">
            <w:pPr>
              <w:jc w:val="center"/>
            </w:pPr>
            <w:r>
              <w:t>P. 02 – Procédure de réalisation des TROD angine à l’officine ou au cabinet infirmier</w:t>
            </w:r>
          </w:p>
        </w:tc>
      </w:tr>
      <w:tr w:rsidR="00554BC9" w14:paraId="3D0CFFE7" w14:textId="77777777" w:rsidTr="009E10FA">
        <w:tc>
          <w:tcPr>
            <w:tcW w:w="4531" w:type="dxa"/>
            <w:vAlign w:val="center"/>
          </w:tcPr>
          <w:p w14:paraId="5BB5AFA4" w14:textId="77777777" w:rsidR="00554BC9" w:rsidRPr="00E16EC1" w:rsidRDefault="00554BC9" w:rsidP="009E10FA">
            <w:pPr>
              <w:jc w:val="center"/>
              <w:rPr>
                <w:b/>
                <w:bCs/>
              </w:rPr>
            </w:pPr>
            <w:r w:rsidRPr="00E16EC1">
              <w:rPr>
                <w:b/>
                <w:bCs/>
              </w:rPr>
              <w:t>Rédigé par</w:t>
            </w:r>
          </w:p>
        </w:tc>
        <w:tc>
          <w:tcPr>
            <w:tcW w:w="4531" w:type="dxa"/>
            <w:vAlign w:val="center"/>
          </w:tcPr>
          <w:p w14:paraId="64200FDA" w14:textId="77777777" w:rsidR="00554BC9" w:rsidRDefault="00554BC9" w:rsidP="009E10FA">
            <w:pPr>
              <w:jc w:val="center"/>
            </w:pPr>
            <w:r>
              <w:t>Gaillard Thibault</w:t>
            </w:r>
          </w:p>
        </w:tc>
      </w:tr>
      <w:tr w:rsidR="00554BC9" w14:paraId="5EED0111" w14:textId="77777777" w:rsidTr="009E10FA">
        <w:tc>
          <w:tcPr>
            <w:tcW w:w="4531" w:type="dxa"/>
            <w:vAlign w:val="center"/>
          </w:tcPr>
          <w:p w14:paraId="36C2155D" w14:textId="77777777" w:rsidR="00554BC9" w:rsidRPr="00E16EC1" w:rsidRDefault="00554BC9" w:rsidP="009E10FA">
            <w:pPr>
              <w:jc w:val="center"/>
              <w:rPr>
                <w:b/>
                <w:bCs/>
              </w:rPr>
            </w:pPr>
            <w:r w:rsidRPr="00E16EC1">
              <w:rPr>
                <w:b/>
                <w:bCs/>
              </w:rPr>
              <w:t>Accepté par</w:t>
            </w:r>
          </w:p>
        </w:tc>
        <w:tc>
          <w:tcPr>
            <w:tcW w:w="4531" w:type="dxa"/>
            <w:vAlign w:val="center"/>
          </w:tcPr>
          <w:p w14:paraId="4EBA5F76" w14:textId="77777777" w:rsidR="00554BC9" w:rsidRDefault="00554BC9" w:rsidP="009E10FA">
            <w:pPr>
              <w:jc w:val="center"/>
            </w:pPr>
          </w:p>
        </w:tc>
      </w:tr>
    </w:tbl>
    <w:p w14:paraId="454EC2CA" w14:textId="77777777" w:rsidR="00554BC9" w:rsidRDefault="00554BC9" w:rsidP="00554BC9">
      <w:pPr>
        <w:pStyle w:val="Titre1"/>
      </w:pPr>
      <w:r>
        <w:t>Historique</w:t>
      </w:r>
    </w:p>
    <w:tbl>
      <w:tblPr>
        <w:tblStyle w:val="Grilledutableau"/>
        <w:tblW w:w="0" w:type="auto"/>
        <w:tblLook w:val="04A0" w:firstRow="1" w:lastRow="0" w:firstColumn="1" w:lastColumn="0" w:noHBand="0" w:noVBand="1"/>
      </w:tblPr>
      <w:tblGrid>
        <w:gridCol w:w="3020"/>
        <w:gridCol w:w="3021"/>
        <w:gridCol w:w="3021"/>
      </w:tblGrid>
      <w:tr w:rsidR="00554BC9" w14:paraId="14BB5A9A" w14:textId="77777777" w:rsidTr="009E10FA">
        <w:trPr>
          <w:trHeight w:val="624"/>
        </w:trPr>
        <w:tc>
          <w:tcPr>
            <w:tcW w:w="3020" w:type="dxa"/>
            <w:vAlign w:val="center"/>
          </w:tcPr>
          <w:p w14:paraId="7993A282" w14:textId="77777777" w:rsidR="00554BC9" w:rsidRPr="00221D81" w:rsidRDefault="00554BC9" w:rsidP="009E10FA">
            <w:pPr>
              <w:jc w:val="center"/>
              <w:rPr>
                <w:b/>
                <w:bCs/>
              </w:rPr>
            </w:pPr>
            <w:r w:rsidRPr="00221D81">
              <w:rPr>
                <w:b/>
                <w:bCs/>
              </w:rPr>
              <w:t>N° de version</w:t>
            </w:r>
          </w:p>
        </w:tc>
        <w:tc>
          <w:tcPr>
            <w:tcW w:w="3021" w:type="dxa"/>
            <w:vAlign w:val="center"/>
          </w:tcPr>
          <w:p w14:paraId="2FCE6158" w14:textId="77777777" w:rsidR="00554BC9" w:rsidRPr="00221D81" w:rsidRDefault="00554BC9" w:rsidP="009E10FA">
            <w:pPr>
              <w:jc w:val="center"/>
              <w:rPr>
                <w:b/>
                <w:bCs/>
              </w:rPr>
            </w:pPr>
            <w:r w:rsidRPr="00221D81">
              <w:rPr>
                <w:b/>
                <w:bCs/>
              </w:rPr>
              <w:t>Date de modification</w:t>
            </w:r>
          </w:p>
        </w:tc>
        <w:tc>
          <w:tcPr>
            <w:tcW w:w="3021" w:type="dxa"/>
            <w:vAlign w:val="center"/>
          </w:tcPr>
          <w:p w14:paraId="1B793A39" w14:textId="77777777" w:rsidR="00554BC9" w:rsidRPr="00221D81" w:rsidRDefault="00554BC9" w:rsidP="009E10FA">
            <w:pPr>
              <w:jc w:val="center"/>
              <w:rPr>
                <w:b/>
                <w:bCs/>
              </w:rPr>
            </w:pPr>
            <w:r w:rsidRPr="00221D81">
              <w:rPr>
                <w:b/>
                <w:bCs/>
              </w:rPr>
              <w:t>Modifications apportée</w:t>
            </w:r>
          </w:p>
        </w:tc>
      </w:tr>
      <w:tr w:rsidR="00554BC9" w14:paraId="09389E5D" w14:textId="77777777" w:rsidTr="009E10FA">
        <w:trPr>
          <w:trHeight w:val="624"/>
        </w:trPr>
        <w:tc>
          <w:tcPr>
            <w:tcW w:w="3020" w:type="dxa"/>
          </w:tcPr>
          <w:p w14:paraId="728F7AC4" w14:textId="77777777" w:rsidR="00554BC9" w:rsidRDefault="00554BC9" w:rsidP="009E10FA"/>
        </w:tc>
        <w:tc>
          <w:tcPr>
            <w:tcW w:w="3021" w:type="dxa"/>
          </w:tcPr>
          <w:p w14:paraId="0565B395" w14:textId="77777777" w:rsidR="00554BC9" w:rsidRDefault="00554BC9" w:rsidP="009E10FA"/>
        </w:tc>
        <w:tc>
          <w:tcPr>
            <w:tcW w:w="3021" w:type="dxa"/>
          </w:tcPr>
          <w:p w14:paraId="29A710B4" w14:textId="77777777" w:rsidR="00554BC9" w:rsidRDefault="00554BC9" w:rsidP="009E10FA"/>
        </w:tc>
      </w:tr>
      <w:tr w:rsidR="00554BC9" w14:paraId="4F479FE1" w14:textId="77777777" w:rsidTr="009E10FA">
        <w:trPr>
          <w:trHeight w:val="624"/>
        </w:trPr>
        <w:tc>
          <w:tcPr>
            <w:tcW w:w="3020" w:type="dxa"/>
          </w:tcPr>
          <w:p w14:paraId="5C200883" w14:textId="77777777" w:rsidR="00554BC9" w:rsidRDefault="00554BC9" w:rsidP="009E10FA"/>
        </w:tc>
        <w:tc>
          <w:tcPr>
            <w:tcW w:w="3021" w:type="dxa"/>
          </w:tcPr>
          <w:p w14:paraId="53F3624E" w14:textId="77777777" w:rsidR="00554BC9" w:rsidRDefault="00554BC9" w:rsidP="009E10FA"/>
        </w:tc>
        <w:tc>
          <w:tcPr>
            <w:tcW w:w="3021" w:type="dxa"/>
          </w:tcPr>
          <w:p w14:paraId="3B0F2693" w14:textId="77777777" w:rsidR="00554BC9" w:rsidRDefault="00554BC9" w:rsidP="009E10FA"/>
        </w:tc>
      </w:tr>
      <w:tr w:rsidR="00554BC9" w14:paraId="394FDBAC" w14:textId="77777777" w:rsidTr="009E10FA">
        <w:trPr>
          <w:trHeight w:val="624"/>
        </w:trPr>
        <w:tc>
          <w:tcPr>
            <w:tcW w:w="3020" w:type="dxa"/>
          </w:tcPr>
          <w:p w14:paraId="09CD69B6" w14:textId="77777777" w:rsidR="00554BC9" w:rsidRDefault="00554BC9" w:rsidP="009E10FA"/>
        </w:tc>
        <w:tc>
          <w:tcPr>
            <w:tcW w:w="3021" w:type="dxa"/>
          </w:tcPr>
          <w:p w14:paraId="285D1EF8" w14:textId="77777777" w:rsidR="00554BC9" w:rsidRDefault="00554BC9" w:rsidP="009E10FA"/>
        </w:tc>
        <w:tc>
          <w:tcPr>
            <w:tcW w:w="3021" w:type="dxa"/>
          </w:tcPr>
          <w:p w14:paraId="1779DE3F" w14:textId="77777777" w:rsidR="00554BC9" w:rsidRDefault="00554BC9" w:rsidP="009E10FA"/>
        </w:tc>
      </w:tr>
      <w:tr w:rsidR="00554BC9" w14:paraId="322645DD" w14:textId="77777777" w:rsidTr="009E10FA">
        <w:trPr>
          <w:trHeight w:val="624"/>
        </w:trPr>
        <w:tc>
          <w:tcPr>
            <w:tcW w:w="3020" w:type="dxa"/>
          </w:tcPr>
          <w:p w14:paraId="47AB2595" w14:textId="77777777" w:rsidR="00554BC9" w:rsidRDefault="00554BC9" w:rsidP="009E10FA"/>
        </w:tc>
        <w:tc>
          <w:tcPr>
            <w:tcW w:w="3021" w:type="dxa"/>
          </w:tcPr>
          <w:p w14:paraId="0BCDA5A4" w14:textId="77777777" w:rsidR="00554BC9" w:rsidRDefault="00554BC9" w:rsidP="009E10FA"/>
        </w:tc>
        <w:tc>
          <w:tcPr>
            <w:tcW w:w="3021" w:type="dxa"/>
          </w:tcPr>
          <w:p w14:paraId="6B583641" w14:textId="77777777" w:rsidR="00554BC9" w:rsidRDefault="00554BC9" w:rsidP="009E10FA"/>
        </w:tc>
      </w:tr>
    </w:tbl>
    <w:p w14:paraId="1DDB9E99" w14:textId="77777777" w:rsidR="00554BC9" w:rsidRDefault="00554BC9" w:rsidP="00221D81">
      <w:pPr>
        <w:pStyle w:val="Titre1"/>
      </w:pPr>
    </w:p>
    <w:sectPr w:rsidR="00554BC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ibault Gaillard" w:date="2021-08-02T11:17:00Z" w:initials="TG">
    <w:p w14:paraId="108BD8A6" w14:textId="3C4BB7BC" w:rsidR="006E7464" w:rsidRDefault="006E7464">
      <w:pPr>
        <w:pStyle w:val="Commentaire"/>
      </w:pPr>
      <w:r>
        <w:rPr>
          <w:rStyle w:val="Marquedecommentaire"/>
        </w:rPr>
        <w:annotationRef/>
      </w:r>
      <w:r>
        <w:t>Procédure rédigé</w:t>
      </w:r>
      <w:r w:rsidR="001031AF">
        <w:t>e</w:t>
      </w:r>
      <w:r>
        <w:t xml:space="preserve"> en reprenant et en adaptant les différents éléments de la procédure : </w:t>
      </w:r>
      <w:r w:rsidRPr="006E7464">
        <w:t>https://www.demarchequaliteofficine.fr/view/file/var/site/storage/original/application/2e22a7ece0ffd5cf10a232c81bb9bd33.pdf/P.91%20-%20TROD%20angine%20procédure%20qualité.pdf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8BD8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52CC" w16cex:dateUtc="2021-08-02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8BD8A6" w16cid:durableId="24B252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F8"/>
    <w:multiLevelType w:val="hybridMultilevel"/>
    <w:tmpl w:val="3B3A70AC"/>
    <w:lvl w:ilvl="0" w:tplc="711E0892">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ibault Gaillard">
    <w15:presenceInfo w15:providerId="Windows Live" w15:userId="122af4e8076bb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64"/>
    <w:rsid w:val="000753A1"/>
    <w:rsid w:val="000F06D7"/>
    <w:rsid w:val="001031AF"/>
    <w:rsid w:val="00221D81"/>
    <w:rsid w:val="003049F1"/>
    <w:rsid w:val="00322769"/>
    <w:rsid w:val="0044672F"/>
    <w:rsid w:val="0053351A"/>
    <w:rsid w:val="00554BC9"/>
    <w:rsid w:val="0058738B"/>
    <w:rsid w:val="006E7464"/>
    <w:rsid w:val="00726C94"/>
    <w:rsid w:val="00855AC0"/>
    <w:rsid w:val="008A297A"/>
    <w:rsid w:val="0097314F"/>
    <w:rsid w:val="00AB2CA3"/>
    <w:rsid w:val="00C16344"/>
    <w:rsid w:val="00C636CD"/>
    <w:rsid w:val="00CE6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6946"/>
  <w15:chartTrackingRefBased/>
  <w15:docId w15:val="{D7EEC7E9-3A24-B64A-B07C-03EAF29D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E74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21D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E746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E7464"/>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6E7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7464"/>
    <w:pPr>
      <w:ind w:left="720"/>
      <w:contextualSpacing/>
      <w:jc w:val="both"/>
    </w:pPr>
  </w:style>
  <w:style w:type="paragraph" w:styleId="Sous-titre">
    <w:name w:val="Subtitle"/>
    <w:basedOn w:val="Normal"/>
    <w:next w:val="Normal"/>
    <w:link w:val="Sous-titreCar"/>
    <w:uiPriority w:val="11"/>
    <w:qFormat/>
    <w:rsid w:val="006E7464"/>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6E7464"/>
    <w:rPr>
      <w:rFonts w:eastAsiaTheme="minorEastAsia"/>
      <w:color w:val="5A5A5A" w:themeColor="text1" w:themeTint="A5"/>
      <w:spacing w:val="15"/>
      <w:sz w:val="22"/>
      <w:szCs w:val="22"/>
    </w:rPr>
  </w:style>
  <w:style w:type="character" w:customStyle="1" w:styleId="Titre1Car">
    <w:name w:val="Titre 1 Car"/>
    <w:basedOn w:val="Policepardfaut"/>
    <w:link w:val="Titre1"/>
    <w:uiPriority w:val="9"/>
    <w:rsid w:val="006E7464"/>
    <w:rPr>
      <w:rFonts w:asciiTheme="majorHAnsi" w:eastAsiaTheme="majorEastAsia" w:hAnsiTheme="majorHAnsi" w:cstheme="majorBidi"/>
      <w:color w:val="2F5496" w:themeColor="accent1" w:themeShade="BF"/>
      <w:sz w:val="32"/>
      <w:szCs w:val="32"/>
    </w:rPr>
  </w:style>
  <w:style w:type="paragraph" w:customStyle="1" w:styleId="Default">
    <w:name w:val="Default"/>
    <w:rsid w:val="006E7464"/>
    <w:pPr>
      <w:autoSpaceDE w:val="0"/>
      <w:autoSpaceDN w:val="0"/>
      <w:adjustRightInd w:val="0"/>
    </w:pPr>
    <w:rPr>
      <w:rFonts w:ascii="Arial" w:hAnsi="Arial" w:cs="Arial"/>
      <w:color w:val="000000"/>
    </w:rPr>
  </w:style>
  <w:style w:type="character" w:styleId="Marquedecommentaire">
    <w:name w:val="annotation reference"/>
    <w:basedOn w:val="Policepardfaut"/>
    <w:uiPriority w:val="99"/>
    <w:semiHidden/>
    <w:unhideWhenUsed/>
    <w:rsid w:val="006E7464"/>
    <w:rPr>
      <w:sz w:val="16"/>
      <w:szCs w:val="16"/>
    </w:rPr>
  </w:style>
  <w:style w:type="paragraph" w:styleId="Commentaire">
    <w:name w:val="annotation text"/>
    <w:basedOn w:val="Normal"/>
    <w:link w:val="CommentaireCar"/>
    <w:uiPriority w:val="99"/>
    <w:semiHidden/>
    <w:unhideWhenUsed/>
    <w:rsid w:val="006E7464"/>
    <w:rPr>
      <w:sz w:val="20"/>
      <w:szCs w:val="20"/>
    </w:rPr>
  </w:style>
  <w:style w:type="character" w:customStyle="1" w:styleId="CommentaireCar">
    <w:name w:val="Commentaire Car"/>
    <w:basedOn w:val="Policepardfaut"/>
    <w:link w:val="Commentaire"/>
    <w:uiPriority w:val="99"/>
    <w:semiHidden/>
    <w:rsid w:val="006E7464"/>
    <w:rPr>
      <w:sz w:val="20"/>
      <w:szCs w:val="20"/>
    </w:rPr>
  </w:style>
  <w:style w:type="paragraph" w:styleId="Objetducommentaire">
    <w:name w:val="annotation subject"/>
    <w:basedOn w:val="Commentaire"/>
    <w:next w:val="Commentaire"/>
    <w:link w:val="ObjetducommentaireCar"/>
    <w:uiPriority w:val="99"/>
    <w:semiHidden/>
    <w:unhideWhenUsed/>
    <w:rsid w:val="006E7464"/>
    <w:rPr>
      <w:b/>
      <w:bCs/>
    </w:rPr>
  </w:style>
  <w:style w:type="character" w:customStyle="1" w:styleId="ObjetducommentaireCar">
    <w:name w:val="Objet du commentaire Car"/>
    <w:basedOn w:val="CommentaireCar"/>
    <w:link w:val="Objetducommentaire"/>
    <w:uiPriority w:val="99"/>
    <w:semiHidden/>
    <w:rsid w:val="006E7464"/>
    <w:rPr>
      <w:b/>
      <w:bCs/>
      <w:sz w:val="20"/>
      <w:szCs w:val="20"/>
    </w:rPr>
  </w:style>
  <w:style w:type="character" w:customStyle="1" w:styleId="Titre2Car">
    <w:name w:val="Titre 2 Car"/>
    <w:basedOn w:val="Policepardfaut"/>
    <w:link w:val="Titre2"/>
    <w:uiPriority w:val="9"/>
    <w:rsid w:val="00221D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968</Words>
  <Characters>5402</Characters>
  <Application>Microsoft Office Word</Application>
  <DocSecurity>0</DocSecurity>
  <Lines>128</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Gaillard</dc:creator>
  <cp:keywords/>
  <dc:description/>
  <cp:lastModifiedBy>Thibault Gaillard</cp:lastModifiedBy>
  <cp:revision>14</cp:revision>
  <dcterms:created xsi:type="dcterms:W3CDTF">2021-08-02T08:19:00Z</dcterms:created>
  <dcterms:modified xsi:type="dcterms:W3CDTF">2021-11-11T21:43:00Z</dcterms:modified>
</cp:coreProperties>
</file>