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1323" w14:textId="4C221299" w:rsidR="003049F1" w:rsidRDefault="00FB3CF9" w:rsidP="00521E00">
      <w:pPr>
        <w:pStyle w:val="Titre"/>
      </w:pPr>
      <w:r>
        <w:t xml:space="preserve">Procédure pratique de </w:t>
      </w:r>
      <w:r w:rsidR="00A43A91">
        <w:t>prise en charge</w:t>
      </w:r>
      <w:r>
        <w:t xml:space="preserve"> des patients à l’officine ou au cabinet infirmier</w:t>
      </w:r>
    </w:p>
    <w:p w14:paraId="52305491" w14:textId="5E538BA1" w:rsidR="00A43A91" w:rsidRDefault="00A43A91" w:rsidP="00A43A91">
      <w:pPr>
        <w:pStyle w:val="Sous-titre"/>
      </w:pPr>
      <w:r>
        <w:t>Dans le cadre de l’application du protocole « </w:t>
      </w:r>
      <w:r w:rsidR="00CE14F0">
        <w:t>PR.01 – O</w:t>
      </w:r>
      <w:r>
        <w:t>dynophagie chez les patients de 6 à 45 ans : protocole de coopération entre médecin généraliste, pharmacie</w:t>
      </w:r>
      <w:r w:rsidR="00015BE3">
        <w:t>n</w:t>
      </w:r>
      <w:r>
        <w:t xml:space="preserve"> et infirmier diplômés d’état »</w:t>
      </w:r>
    </w:p>
    <w:p w14:paraId="1CC3297F" w14:textId="77777777" w:rsidR="00A43A91" w:rsidRPr="00A43A91" w:rsidRDefault="00A43A91" w:rsidP="00A43A91"/>
    <w:tbl>
      <w:tblPr>
        <w:tblStyle w:val="Grilledutableau"/>
        <w:tblW w:w="0" w:type="auto"/>
        <w:tblLook w:val="04A0" w:firstRow="1" w:lastRow="0" w:firstColumn="1" w:lastColumn="0" w:noHBand="0" w:noVBand="1"/>
      </w:tblPr>
      <w:tblGrid>
        <w:gridCol w:w="1413"/>
        <w:gridCol w:w="7649"/>
      </w:tblGrid>
      <w:tr w:rsidR="00FB3CF9" w14:paraId="4E242B4B" w14:textId="77777777" w:rsidTr="00BE0E1F">
        <w:tc>
          <w:tcPr>
            <w:tcW w:w="1413" w:type="dxa"/>
            <w:vAlign w:val="center"/>
          </w:tcPr>
          <w:p w14:paraId="359778CA" w14:textId="6DD1561B" w:rsidR="00FB3CF9" w:rsidRDefault="00FB3CF9" w:rsidP="00BE0E1F">
            <w:pPr>
              <w:jc w:val="left"/>
            </w:pPr>
            <w:r>
              <w:t>Qui ?</w:t>
            </w:r>
          </w:p>
        </w:tc>
        <w:tc>
          <w:tcPr>
            <w:tcW w:w="7649" w:type="dxa"/>
          </w:tcPr>
          <w:p w14:paraId="0F01ABB0" w14:textId="3174E5B2" w:rsidR="00FB3CF9" w:rsidRDefault="00FB3CF9" w:rsidP="00521E00">
            <w:r>
              <w:t>Le pharmacien d’officine ou l’IDE sous la délégation des médecins généralistes de la structure pluriprofessionnelle prenant part au protocole</w:t>
            </w:r>
          </w:p>
        </w:tc>
      </w:tr>
      <w:tr w:rsidR="00FB3CF9" w14:paraId="70514468" w14:textId="77777777" w:rsidTr="00BE0E1F">
        <w:tc>
          <w:tcPr>
            <w:tcW w:w="1413" w:type="dxa"/>
            <w:vAlign w:val="center"/>
          </w:tcPr>
          <w:p w14:paraId="5C9DCA77" w14:textId="6E244C55" w:rsidR="00FB3CF9" w:rsidRDefault="00FB3CF9" w:rsidP="00BE0E1F">
            <w:pPr>
              <w:jc w:val="left"/>
            </w:pPr>
            <w:r>
              <w:t>Quoi ?</w:t>
            </w:r>
          </w:p>
        </w:tc>
        <w:tc>
          <w:tcPr>
            <w:tcW w:w="7649" w:type="dxa"/>
          </w:tcPr>
          <w:p w14:paraId="2C6D187D" w14:textId="60B2983F" w:rsidR="00FB3CF9" w:rsidRDefault="00FB3CF9" w:rsidP="00521E00">
            <w:r>
              <w:t>Procédure visant à standardiser l’application du protocole « Odynophagie chez les patients de</w:t>
            </w:r>
            <w:r w:rsidR="00696614">
              <w:t xml:space="preserve"> </w:t>
            </w:r>
            <w:r>
              <w:t>6 à 45 ans : protocole de coopération entre médecin généraliste, pharmacien et infirmiers diplômés d’état »</w:t>
            </w:r>
          </w:p>
        </w:tc>
      </w:tr>
      <w:tr w:rsidR="00FB3CF9" w14:paraId="32B0C600" w14:textId="77777777" w:rsidTr="00BE0E1F">
        <w:tc>
          <w:tcPr>
            <w:tcW w:w="1413" w:type="dxa"/>
            <w:vAlign w:val="center"/>
          </w:tcPr>
          <w:p w14:paraId="78BA312E" w14:textId="75D059BA" w:rsidR="00FB3CF9" w:rsidRDefault="00FB3CF9" w:rsidP="00BE0E1F">
            <w:pPr>
              <w:jc w:val="left"/>
            </w:pPr>
            <w:r>
              <w:t>Où ?</w:t>
            </w:r>
          </w:p>
        </w:tc>
        <w:tc>
          <w:tcPr>
            <w:tcW w:w="7649" w:type="dxa"/>
          </w:tcPr>
          <w:p w14:paraId="2702F352" w14:textId="7B90FBCD" w:rsidR="00FB3CF9" w:rsidRDefault="00FB3CF9" w:rsidP="00696614">
            <w:pPr>
              <w:pStyle w:val="Paragraphedeliste"/>
              <w:numPr>
                <w:ilvl w:val="0"/>
                <w:numId w:val="3"/>
              </w:numPr>
            </w:pPr>
            <w:r>
              <w:t>A l’officine, dans le local de confidentialité</w:t>
            </w:r>
          </w:p>
          <w:p w14:paraId="19FDA507" w14:textId="240D2AE2" w:rsidR="00FB3CF9" w:rsidRDefault="00FB3CF9" w:rsidP="00696614">
            <w:pPr>
              <w:pStyle w:val="Paragraphedeliste"/>
              <w:numPr>
                <w:ilvl w:val="0"/>
                <w:numId w:val="3"/>
              </w:numPr>
            </w:pPr>
            <w:r>
              <w:t>Au cabinet infirmier</w:t>
            </w:r>
          </w:p>
        </w:tc>
      </w:tr>
      <w:tr w:rsidR="00FB3CF9" w14:paraId="1C83517A" w14:textId="77777777" w:rsidTr="00BE0E1F">
        <w:tc>
          <w:tcPr>
            <w:tcW w:w="1413" w:type="dxa"/>
            <w:vAlign w:val="center"/>
          </w:tcPr>
          <w:p w14:paraId="42A8BA47" w14:textId="46D2BED4" w:rsidR="00FB3CF9" w:rsidRDefault="00FB3CF9" w:rsidP="00BE0E1F">
            <w:pPr>
              <w:jc w:val="left"/>
            </w:pPr>
            <w:r>
              <w:t>Quand ?</w:t>
            </w:r>
          </w:p>
        </w:tc>
        <w:tc>
          <w:tcPr>
            <w:tcW w:w="7649" w:type="dxa"/>
          </w:tcPr>
          <w:p w14:paraId="37551F52" w14:textId="3F289B79" w:rsidR="00696614" w:rsidRDefault="00FB3CF9" w:rsidP="00696614">
            <w:pPr>
              <w:pStyle w:val="Paragraphedeliste"/>
              <w:numPr>
                <w:ilvl w:val="0"/>
                <w:numId w:val="3"/>
              </w:numPr>
            </w:pPr>
            <w:r>
              <w:t xml:space="preserve">Lorsqu’un patient âgé de 6 à 45 ans se présente avec un mal de gorge augmenté par la </w:t>
            </w:r>
            <w:r w:rsidR="00696614">
              <w:t>déglutition à</w:t>
            </w:r>
            <w:r>
              <w:t xml:space="preserve"> la pharmacie ou au cabinet infirmier </w:t>
            </w:r>
          </w:p>
          <w:p w14:paraId="5DFF0C2F" w14:textId="7717B8AD" w:rsidR="00FB3CF9" w:rsidRDefault="00696614" w:rsidP="00696614">
            <w:pPr>
              <w:pStyle w:val="Paragraphedeliste"/>
              <w:numPr>
                <w:ilvl w:val="0"/>
                <w:numId w:val="3"/>
              </w:numPr>
            </w:pPr>
            <w:r>
              <w:t>C</w:t>
            </w:r>
            <w:r w:rsidR="00FB3CF9">
              <w:t xml:space="preserve">e patient ne s’est pas opposé à l’accès </w:t>
            </w:r>
            <w:r>
              <w:t>à son</w:t>
            </w:r>
            <w:r w:rsidR="00FB3CF9">
              <w:t xml:space="preserve"> dossier médical par le pharmacien d’officine ou </w:t>
            </w:r>
            <w:proofErr w:type="spellStart"/>
            <w:r w:rsidR="00FB3CF9">
              <w:t>lDE</w:t>
            </w:r>
            <w:proofErr w:type="spellEnd"/>
          </w:p>
        </w:tc>
      </w:tr>
      <w:tr w:rsidR="00FB3CF9" w14:paraId="41338D22" w14:textId="77777777" w:rsidTr="00381AC8">
        <w:trPr>
          <w:trHeight w:val="479"/>
        </w:trPr>
        <w:tc>
          <w:tcPr>
            <w:tcW w:w="1413" w:type="dxa"/>
            <w:vAlign w:val="center"/>
          </w:tcPr>
          <w:p w14:paraId="74D96619" w14:textId="2B2F0549" w:rsidR="00FB3CF9" w:rsidRDefault="00FB3CF9" w:rsidP="00BE0E1F">
            <w:pPr>
              <w:jc w:val="left"/>
            </w:pPr>
            <w:r>
              <w:t>Pourquoi ?</w:t>
            </w:r>
          </w:p>
        </w:tc>
        <w:tc>
          <w:tcPr>
            <w:tcW w:w="7649" w:type="dxa"/>
          </w:tcPr>
          <w:p w14:paraId="532EB070" w14:textId="72BB557F" w:rsidR="00FB3CF9" w:rsidRDefault="00FB3CF9" w:rsidP="00521E00">
            <w:r>
              <w:t>Réduire le délai de prise en charge d’une odynophagie (avec diminution du risque de complication du fait de cette prise en charge précoce) dans un contexte de démographie médicale déficitaire</w:t>
            </w:r>
          </w:p>
        </w:tc>
      </w:tr>
    </w:tbl>
    <w:p w14:paraId="41BC1D81" w14:textId="035BA888" w:rsidR="00FB3CF9" w:rsidRDefault="00FB3CF9" w:rsidP="00521E00"/>
    <w:p w14:paraId="087F47FE" w14:textId="3A07FDD2" w:rsidR="00295E96" w:rsidRDefault="00295E96" w:rsidP="00521E00">
      <w:pPr>
        <w:pStyle w:val="Titre1"/>
      </w:pPr>
      <w:r>
        <w:t>Documents de référence</w:t>
      </w:r>
    </w:p>
    <w:p w14:paraId="28E716B2" w14:textId="1AF5FC69" w:rsidR="00295E96" w:rsidRDefault="00295E96" w:rsidP="00295E96">
      <w:pPr>
        <w:pStyle w:val="Paragraphedeliste"/>
        <w:numPr>
          <w:ilvl w:val="0"/>
          <w:numId w:val="3"/>
        </w:numPr>
      </w:pPr>
      <w:r>
        <w:t>Arrêté du 16 mars 2020 relatif à l’autorisation du protocole de coopération « prise en charge de l’odynophagie par l’infirmier diplômé d’État ou le pharmacien d’officine dans le cadre d’une structure pluriprofessionnelle</w:t>
      </w:r>
    </w:p>
    <w:p w14:paraId="5FA1428B" w14:textId="72AE8BCA" w:rsidR="00295E96" w:rsidRPr="00BD5A33" w:rsidRDefault="00295E96" w:rsidP="00295E96">
      <w:pPr>
        <w:pStyle w:val="Paragraphedeliste"/>
        <w:numPr>
          <w:ilvl w:val="0"/>
          <w:numId w:val="3"/>
        </w:numPr>
        <w:rPr>
          <w:i/>
          <w:iCs/>
        </w:rPr>
      </w:pPr>
      <w:r>
        <w:t xml:space="preserve">Le protocole </w:t>
      </w:r>
      <w:r w:rsidRPr="00BD5A33">
        <w:rPr>
          <w:i/>
          <w:iCs/>
        </w:rPr>
        <w:t>« </w:t>
      </w:r>
      <w:r w:rsidR="00CE14F0">
        <w:rPr>
          <w:i/>
          <w:iCs/>
        </w:rPr>
        <w:t xml:space="preserve">PR. 01 – </w:t>
      </w:r>
      <w:r w:rsidRPr="00BD5A33">
        <w:rPr>
          <w:i/>
          <w:iCs/>
        </w:rPr>
        <w:t>Odynophagie chez les patients de 6 à 45 ans : protocole de coopération entre médecin généraliste, pharmacien et infirmiers diplômés d’état »</w:t>
      </w:r>
    </w:p>
    <w:p w14:paraId="57D738A4" w14:textId="0CB278CA" w:rsidR="00295E96" w:rsidRPr="00295E96" w:rsidRDefault="00295E96" w:rsidP="00295E96">
      <w:pPr>
        <w:pStyle w:val="Paragraphedeliste"/>
        <w:numPr>
          <w:ilvl w:val="0"/>
          <w:numId w:val="3"/>
        </w:numPr>
      </w:pPr>
      <w:r>
        <w:t xml:space="preserve">Le </w:t>
      </w:r>
      <w:r w:rsidR="00CE14F0">
        <w:t xml:space="preserve">document </w:t>
      </w:r>
      <w:r w:rsidR="00CE14F0" w:rsidRPr="00BD5A33">
        <w:rPr>
          <w:i/>
          <w:iCs/>
        </w:rPr>
        <w:t>«</w:t>
      </w:r>
      <w:r w:rsidR="00CE14F0">
        <w:rPr>
          <w:i/>
          <w:iCs/>
        </w:rPr>
        <w:t xml:space="preserve"> PR. 01.1 – P</w:t>
      </w:r>
      <w:r w:rsidRPr="00BD5A33">
        <w:rPr>
          <w:i/>
          <w:iCs/>
        </w:rPr>
        <w:t>rogramme de formation des infirmiers diplômés d’État des pharmaciens d’officine</w:t>
      </w:r>
      <w:r w:rsidR="00BD5A33" w:rsidRPr="00BD5A33">
        <w:rPr>
          <w:i/>
          <w:iCs/>
        </w:rPr>
        <w:t> »</w:t>
      </w:r>
    </w:p>
    <w:p w14:paraId="0BBE77BE" w14:textId="77777777" w:rsidR="00381AC8" w:rsidRDefault="00381AC8" w:rsidP="00381AC8">
      <w:pPr>
        <w:pStyle w:val="Titre1"/>
      </w:pPr>
      <w:r>
        <w:t>Documents à disposition :</w:t>
      </w:r>
    </w:p>
    <w:p w14:paraId="25045F69" w14:textId="77777777" w:rsidR="00381AC8" w:rsidRPr="00BD5A33" w:rsidRDefault="00381AC8" w:rsidP="00381AC8">
      <w:pPr>
        <w:pStyle w:val="Paragraphedeliste"/>
        <w:numPr>
          <w:ilvl w:val="0"/>
          <w:numId w:val="3"/>
        </w:numPr>
        <w:rPr>
          <w:i/>
          <w:iCs/>
        </w:rPr>
      </w:pPr>
      <w:r w:rsidRPr="00BD5A33">
        <w:rPr>
          <w:i/>
          <w:iCs/>
        </w:rPr>
        <w:t>« </w:t>
      </w:r>
      <w:r>
        <w:rPr>
          <w:i/>
          <w:iCs/>
        </w:rPr>
        <w:t xml:space="preserve">E. 01 – </w:t>
      </w:r>
      <w:r w:rsidRPr="00BD5A33">
        <w:rPr>
          <w:i/>
          <w:iCs/>
        </w:rPr>
        <w:t>Attestation de consentement du patient »</w:t>
      </w:r>
    </w:p>
    <w:p w14:paraId="33CCF924" w14:textId="77777777" w:rsidR="00381AC8" w:rsidRPr="00BD5A33" w:rsidRDefault="00381AC8" w:rsidP="00381AC8">
      <w:pPr>
        <w:pStyle w:val="Paragraphedeliste"/>
        <w:numPr>
          <w:ilvl w:val="0"/>
          <w:numId w:val="3"/>
        </w:numPr>
        <w:rPr>
          <w:i/>
          <w:iCs/>
        </w:rPr>
      </w:pPr>
      <w:r w:rsidRPr="00BD5A33">
        <w:rPr>
          <w:i/>
          <w:iCs/>
        </w:rPr>
        <w:t>« </w:t>
      </w:r>
      <w:r>
        <w:rPr>
          <w:i/>
          <w:iCs/>
        </w:rPr>
        <w:t xml:space="preserve">E. 02 – </w:t>
      </w:r>
      <w:r w:rsidRPr="00BD5A33">
        <w:rPr>
          <w:i/>
          <w:iCs/>
        </w:rPr>
        <w:t>Synthèse de la prise en charge destinée au patient »</w:t>
      </w:r>
    </w:p>
    <w:p w14:paraId="597EA42E" w14:textId="77777777" w:rsidR="00381AC8" w:rsidRDefault="00381AC8" w:rsidP="00381AC8">
      <w:pPr>
        <w:pStyle w:val="Paragraphedeliste"/>
        <w:numPr>
          <w:ilvl w:val="0"/>
          <w:numId w:val="3"/>
        </w:numPr>
        <w:rPr>
          <w:i/>
          <w:iCs/>
        </w:rPr>
      </w:pPr>
      <w:r>
        <w:rPr>
          <w:i/>
          <w:iCs/>
        </w:rPr>
        <w:t>« E. 03 – Attestation de formation du pharmacien d’officine ou de l’IDE »</w:t>
      </w:r>
    </w:p>
    <w:p w14:paraId="6A6D6B33" w14:textId="77777777" w:rsidR="00381AC8" w:rsidRDefault="00381AC8" w:rsidP="00381AC8">
      <w:pPr>
        <w:pStyle w:val="Paragraphedeliste"/>
        <w:numPr>
          <w:ilvl w:val="0"/>
          <w:numId w:val="3"/>
        </w:numPr>
        <w:rPr>
          <w:i/>
          <w:iCs/>
        </w:rPr>
      </w:pPr>
      <w:r w:rsidRPr="00BD5A33">
        <w:rPr>
          <w:i/>
          <w:iCs/>
        </w:rPr>
        <w:t>« </w:t>
      </w:r>
      <w:r>
        <w:rPr>
          <w:i/>
          <w:iCs/>
        </w:rPr>
        <w:t xml:space="preserve">P. 02 – </w:t>
      </w:r>
      <w:r w:rsidRPr="00BD5A33">
        <w:rPr>
          <w:i/>
          <w:iCs/>
        </w:rPr>
        <w:t>Procédure pour la réalisation du TROD angine à l’officine ou au cabinet infirmier »</w:t>
      </w:r>
    </w:p>
    <w:p w14:paraId="02B6725A" w14:textId="77777777" w:rsidR="00381AC8" w:rsidRPr="00BD5A33" w:rsidRDefault="00381AC8" w:rsidP="00381AC8">
      <w:pPr>
        <w:pStyle w:val="Paragraphedeliste"/>
        <w:numPr>
          <w:ilvl w:val="0"/>
          <w:numId w:val="3"/>
        </w:numPr>
        <w:rPr>
          <w:i/>
          <w:iCs/>
        </w:rPr>
      </w:pPr>
      <w:r w:rsidRPr="00BD5A33">
        <w:rPr>
          <w:i/>
          <w:iCs/>
        </w:rPr>
        <w:t>« </w:t>
      </w:r>
      <w:r>
        <w:rPr>
          <w:i/>
          <w:iCs/>
        </w:rPr>
        <w:t xml:space="preserve">PR. 01.2 – </w:t>
      </w:r>
      <w:r w:rsidRPr="00BD5A33">
        <w:rPr>
          <w:i/>
          <w:iCs/>
        </w:rPr>
        <w:t xml:space="preserve">Formulaire de prise en charge patient » </w:t>
      </w:r>
    </w:p>
    <w:p w14:paraId="2C4D8C9C" w14:textId="77777777" w:rsidR="00381AC8" w:rsidRDefault="00381AC8" w:rsidP="00381AC8">
      <w:pPr>
        <w:pStyle w:val="Paragraphedeliste"/>
        <w:numPr>
          <w:ilvl w:val="0"/>
          <w:numId w:val="3"/>
        </w:numPr>
        <w:rPr>
          <w:i/>
          <w:iCs/>
        </w:rPr>
      </w:pPr>
      <w:r>
        <w:t>« </w:t>
      </w:r>
      <w:r>
        <w:rPr>
          <w:i/>
          <w:iCs/>
        </w:rPr>
        <w:t>PR. 01.3 – Enquête de satisfaction pharmacien – IDE »</w:t>
      </w:r>
    </w:p>
    <w:p w14:paraId="36181311" w14:textId="77777777" w:rsidR="00381AC8" w:rsidRPr="00047925" w:rsidRDefault="00381AC8" w:rsidP="00381AC8">
      <w:pPr>
        <w:pStyle w:val="Paragraphedeliste"/>
        <w:numPr>
          <w:ilvl w:val="0"/>
          <w:numId w:val="3"/>
        </w:numPr>
        <w:rPr>
          <w:i/>
          <w:iCs/>
        </w:rPr>
      </w:pPr>
      <w:r>
        <w:rPr>
          <w:i/>
          <w:iCs/>
        </w:rPr>
        <w:t>« PR. 01.4 – Enquête de satisfaction patient »</w:t>
      </w:r>
    </w:p>
    <w:p w14:paraId="54A04E36" w14:textId="77777777" w:rsidR="00381AC8" w:rsidRPr="00BD5A33" w:rsidRDefault="00381AC8" w:rsidP="00381AC8">
      <w:pPr>
        <w:pStyle w:val="Paragraphedeliste"/>
        <w:numPr>
          <w:ilvl w:val="0"/>
          <w:numId w:val="3"/>
        </w:numPr>
        <w:rPr>
          <w:i/>
          <w:iCs/>
        </w:rPr>
      </w:pPr>
      <w:r w:rsidRPr="00BD5A33">
        <w:rPr>
          <w:i/>
          <w:iCs/>
        </w:rPr>
        <w:t>« </w:t>
      </w:r>
      <w:r>
        <w:rPr>
          <w:i/>
          <w:iCs/>
        </w:rPr>
        <w:t xml:space="preserve">PR. 01.6 – </w:t>
      </w:r>
      <w:r w:rsidRPr="00BD5A33">
        <w:rPr>
          <w:i/>
          <w:iCs/>
        </w:rPr>
        <w:t>Formulaire de reprise de la prise en charge par le médecin »</w:t>
      </w:r>
    </w:p>
    <w:p w14:paraId="2B9B9C0D" w14:textId="77777777" w:rsidR="00381AC8" w:rsidRDefault="00381AC8" w:rsidP="00521E00">
      <w:pPr>
        <w:pStyle w:val="Titre1"/>
      </w:pPr>
    </w:p>
    <w:p w14:paraId="6E5D2E1D" w14:textId="3FCCB72A" w:rsidR="00FB3CF9" w:rsidRDefault="00FB3CF9" w:rsidP="00521E00">
      <w:pPr>
        <w:pStyle w:val="Titre1"/>
      </w:pPr>
      <w:r>
        <w:t>Comment ?</w:t>
      </w:r>
      <w:r w:rsidR="00295E96">
        <w:t> : description des processus</w:t>
      </w:r>
    </w:p>
    <w:p w14:paraId="0DA26B3E" w14:textId="0BE00DC0" w:rsidR="00FB3CF9" w:rsidRPr="00BD5A33" w:rsidRDefault="00FB3CF9" w:rsidP="00521E00">
      <w:r w:rsidRPr="00E52048">
        <w:rPr>
          <w:b/>
          <w:bCs/>
          <w:u w:val="single"/>
        </w:rPr>
        <w:t>Préalable</w:t>
      </w:r>
      <w:r>
        <w:t xml:space="preserve"> : les pharmaciens </w:t>
      </w:r>
      <w:r w:rsidR="00E01A1F">
        <w:t>d’officine</w:t>
      </w:r>
      <w:r>
        <w:t xml:space="preserve"> et les IDE prenant part au protocole ont suivi une formation de 10h </w:t>
      </w:r>
      <w:r w:rsidR="00521E00">
        <w:t>dispensée et validée par les médecins généralistes prenant part au protocole</w:t>
      </w:r>
      <w:r w:rsidR="00295E96">
        <w:t xml:space="preserve"> (cf. Document </w:t>
      </w:r>
      <w:r w:rsidR="00BD5A33">
        <w:t>de référence</w:t>
      </w:r>
      <w:r w:rsidR="00295E96">
        <w:t xml:space="preserve"> </w:t>
      </w:r>
      <w:r w:rsidR="00295E96">
        <w:rPr>
          <w:i/>
          <w:iCs/>
        </w:rPr>
        <w:t>« </w:t>
      </w:r>
      <w:r w:rsidR="00CE14F0">
        <w:rPr>
          <w:i/>
          <w:iCs/>
        </w:rPr>
        <w:t>PR. 01.1 – P</w:t>
      </w:r>
      <w:r w:rsidR="00295E96">
        <w:rPr>
          <w:i/>
          <w:iCs/>
        </w:rPr>
        <w:t>rogramme de formation des infirmiers diplômés d’</w:t>
      </w:r>
      <w:proofErr w:type="spellStart"/>
      <w:r w:rsidR="00295E96">
        <w:rPr>
          <w:i/>
          <w:iCs/>
        </w:rPr>
        <w:t>Etat</w:t>
      </w:r>
      <w:proofErr w:type="spellEnd"/>
      <w:r w:rsidR="00295E96">
        <w:rPr>
          <w:i/>
          <w:iCs/>
        </w:rPr>
        <w:t xml:space="preserve"> et des pharmaciens d’officine »</w:t>
      </w:r>
      <w:r w:rsidR="00295E96">
        <w:t>)</w:t>
      </w:r>
      <w:r w:rsidR="00BD5A33">
        <w:t xml:space="preserve">. Les pharmaciens d’officine et les IDE se sont </w:t>
      </w:r>
      <w:proofErr w:type="gramStart"/>
      <w:r w:rsidR="00047925">
        <w:t>vu</w:t>
      </w:r>
      <w:r w:rsidR="00381AC8">
        <w:t>s</w:t>
      </w:r>
      <w:proofErr w:type="gramEnd"/>
      <w:r w:rsidR="00BD5A33">
        <w:t xml:space="preserve"> remettre une attestation de formation par les médecins formateurs (Cf. document à </w:t>
      </w:r>
      <w:r w:rsidR="00CE14F0">
        <w:t xml:space="preserve">disposition </w:t>
      </w:r>
      <w:r w:rsidR="00CE14F0">
        <w:rPr>
          <w:i/>
          <w:iCs/>
        </w:rPr>
        <w:t>«</w:t>
      </w:r>
      <w:r w:rsidR="00BD5A33">
        <w:rPr>
          <w:i/>
          <w:iCs/>
        </w:rPr>
        <w:t> </w:t>
      </w:r>
      <w:r w:rsidR="00047925">
        <w:rPr>
          <w:i/>
          <w:iCs/>
        </w:rPr>
        <w:t xml:space="preserve">E. 03 – </w:t>
      </w:r>
      <w:r w:rsidR="00BD5A33">
        <w:rPr>
          <w:i/>
          <w:iCs/>
        </w:rPr>
        <w:t>Attestation de formation du pharmacien d’officine ou de l’IDE »</w:t>
      </w:r>
      <w:r w:rsidR="00BD5A33">
        <w:t>)</w:t>
      </w:r>
    </w:p>
    <w:p w14:paraId="6693B8E6" w14:textId="55C033EF" w:rsidR="00E01A1F" w:rsidRDefault="00E01A1F" w:rsidP="00521E00"/>
    <w:p w14:paraId="49954AD7" w14:textId="0C1E8D98" w:rsidR="00AC1283" w:rsidRDefault="00AC1283" w:rsidP="00521E00">
      <w:r>
        <w:t xml:space="preserve">Tout au long de la prise en charge du patient, le pharmacien ou l’IDE complète le </w:t>
      </w:r>
      <w:r w:rsidR="00047925">
        <w:t xml:space="preserve">document à disposition </w:t>
      </w:r>
      <w:r w:rsidRPr="00295E96">
        <w:rPr>
          <w:i/>
          <w:iCs/>
        </w:rPr>
        <w:t>« </w:t>
      </w:r>
      <w:r w:rsidR="00047925">
        <w:rPr>
          <w:i/>
          <w:iCs/>
        </w:rPr>
        <w:t>PR. 01.2 – F</w:t>
      </w:r>
      <w:r w:rsidRPr="00295E96">
        <w:rPr>
          <w:i/>
          <w:iCs/>
        </w:rPr>
        <w:t>ormulaire de prise en charge patient ».</w:t>
      </w:r>
      <w:r>
        <w:t xml:space="preserve"> </w:t>
      </w:r>
    </w:p>
    <w:p w14:paraId="1ABC0F9A" w14:textId="77777777" w:rsidR="00295E96" w:rsidRPr="00FB3CF9" w:rsidRDefault="00295E96" w:rsidP="00521E00"/>
    <w:p w14:paraId="7B432031" w14:textId="5D776454" w:rsidR="00FB3CF9" w:rsidRDefault="00FB3CF9" w:rsidP="00521E00">
      <w:pPr>
        <w:pStyle w:val="Titre2"/>
        <w:numPr>
          <w:ilvl w:val="0"/>
          <w:numId w:val="1"/>
        </w:numPr>
      </w:pPr>
      <w:r>
        <w:t>Vérification du critère d’inclusion</w:t>
      </w:r>
    </w:p>
    <w:p w14:paraId="695EB329" w14:textId="77777777" w:rsidR="00521E00" w:rsidRDefault="00FB3CF9" w:rsidP="00521E00">
      <w:r>
        <w:t>Interrogatoire du patient par le pharmacien d’officine ou l’IDE</w:t>
      </w:r>
      <w:r w:rsidR="00521E00">
        <w:t xml:space="preserve"> afin de savoir si : </w:t>
      </w:r>
    </w:p>
    <w:p w14:paraId="4850D2E4" w14:textId="273AA8C6" w:rsidR="00FB3CF9" w:rsidRDefault="00521E00" w:rsidP="00521E00">
      <w:pPr>
        <w:pStyle w:val="Paragraphedeliste"/>
        <w:numPr>
          <w:ilvl w:val="0"/>
          <w:numId w:val="2"/>
        </w:numPr>
      </w:pPr>
      <w:r>
        <w:t>Le patient a un mal de gorge augmenté à la déglutition</w:t>
      </w:r>
    </w:p>
    <w:p w14:paraId="10697C9D" w14:textId="64466EDA" w:rsidR="00521E00" w:rsidRDefault="00521E00" w:rsidP="00521E00">
      <w:pPr>
        <w:pStyle w:val="Paragraphedeliste"/>
        <w:numPr>
          <w:ilvl w:val="0"/>
          <w:numId w:val="2"/>
        </w:numPr>
      </w:pPr>
      <w:r>
        <w:t>Le patient ne s’est pas opposé à l’accès à son dossier médical par le pharmacien d’officine ou l’IDE</w:t>
      </w:r>
    </w:p>
    <w:p w14:paraId="7D179DCC" w14:textId="4DA172AA" w:rsidR="00521E00" w:rsidRDefault="00521E00" w:rsidP="00521E00">
      <w:r>
        <w:t>Si le critère d’inclusion est vérifié, le pharmacien d’officine ou l’IDE présente le protocole de prise en charge au patient, lui demande son consentement pour son inclusion et remplit et lui fait signer l’attestation de consentement (</w:t>
      </w:r>
      <w:proofErr w:type="spellStart"/>
      <w:r>
        <w:t>Cf</w:t>
      </w:r>
      <w:proofErr w:type="spellEnd"/>
      <w:r>
        <w:t xml:space="preserve"> </w:t>
      </w:r>
      <w:r w:rsidR="00295E96">
        <w:t xml:space="preserve">document à disposition </w:t>
      </w:r>
      <w:r w:rsidRPr="00295E96">
        <w:rPr>
          <w:i/>
          <w:iCs/>
        </w:rPr>
        <w:t>« </w:t>
      </w:r>
      <w:r w:rsidR="00047925">
        <w:rPr>
          <w:i/>
          <w:iCs/>
        </w:rPr>
        <w:t xml:space="preserve">E. 01 – </w:t>
      </w:r>
      <w:r w:rsidR="00BD5A33">
        <w:rPr>
          <w:i/>
          <w:iCs/>
        </w:rPr>
        <w:t>A</w:t>
      </w:r>
      <w:r w:rsidRPr="00295E96">
        <w:rPr>
          <w:i/>
          <w:iCs/>
        </w:rPr>
        <w:t>ttestation de consentement du patient »</w:t>
      </w:r>
      <w:r>
        <w:t>)</w:t>
      </w:r>
    </w:p>
    <w:p w14:paraId="36088180" w14:textId="7F5CD1EE" w:rsidR="00521E00" w:rsidRDefault="00521E00" w:rsidP="00521E00"/>
    <w:p w14:paraId="3AC0C9FC" w14:textId="67AB3E16" w:rsidR="00521E00" w:rsidRDefault="00521E00" w:rsidP="00521E00">
      <w:pPr>
        <w:pStyle w:val="Titre2"/>
        <w:numPr>
          <w:ilvl w:val="0"/>
          <w:numId w:val="1"/>
        </w:numPr>
      </w:pPr>
      <w:r>
        <w:t>Interrogatoire du patient</w:t>
      </w:r>
    </w:p>
    <w:p w14:paraId="2F79BD84" w14:textId="25A2F1B0" w:rsidR="00521E00" w:rsidRDefault="00521E00" w:rsidP="00521E00">
      <w:r>
        <w:t xml:space="preserve">Interrogatoire plus poussé afin de savoir </w:t>
      </w:r>
      <w:r w:rsidR="00AC1283">
        <w:t>si le patient</w:t>
      </w:r>
      <w:r>
        <w:t xml:space="preserve"> présente des critères d’exclusion (cf. </w:t>
      </w:r>
      <w:r w:rsidR="00295E96">
        <w:t xml:space="preserve">document à disposition </w:t>
      </w:r>
      <w:r w:rsidR="00295E96">
        <w:rPr>
          <w:i/>
          <w:iCs/>
        </w:rPr>
        <w:t>« </w:t>
      </w:r>
      <w:r w:rsidR="00047925">
        <w:rPr>
          <w:i/>
          <w:iCs/>
        </w:rPr>
        <w:t xml:space="preserve">PR. 01.2 – </w:t>
      </w:r>
      <w:r w:rsidR="00295E96">
        <w:rPr>
          <w:i/>
          <w:iCs/>
        </w:rPr>
        <w:t>Formulaire de prise en charge patient »</w:t>
      </w:r>
      <w:r w:rsidR="00295E96">
        <w:t xml:space="preserve"> </w:t>
      </w:r>
      <w:r>
        <w:t xml:space="preserve">partie « données de l’anamnèse » et </w:t>
      </w:r>
      <w:r w:rsidR="005128D3">
        <w:t>annexe 1 « critères d’exclusion » du protocole)</w:t>
      </w:r>
      <w:r w:rsidR="00295E96">
        <w:t xml:space="preserve">. </w:t>
      </w:r>
    </w:p>
    <w:p w14:paraId="5D9063B9" w14:textId="77777777" w:rsidR="005128D3" w:rsidRDefault="005128D3" w:rsidP="00521E00"/>
    <w:p w14:paraId="00EA8959" w14:textId="79A5EC9E" w:rsidR="00E52048" w:rsidRDefault="00E52048" w:rsidP="00E52048">
      <w:r w:rsidRPr="00E52048">
        <w:rPr>
          <w:b/>
          <w:bCs/>
          <w:u w:val="single"/>
        </w:rPr>
        <w:t>Remarque</w:t>
      </w:r>
      <w:r>
        <w:t> : le protocole de prise en charge peut être interrompu à cette étape à tout moment en cas de doute du pharmacien d’officine ou de l’infirmier</w:t>
      </w:r>
    </w:p>
    <w:p w14:paraId="51E62629" w14:textId="6E237C3C" w:rsidR="005128D3" w:rsidRDefault="005128D3" w:rsidP="00521E00"/>
    <w:p w14:paraId="53DB8199" w14:textId="01252569" w:rsidR="005128D3" w:rsidRDefault="005128D3" w:rsidP="005128D3">
      <w:pPr>
        <w:pStyle w:val="Titre2"/>
        <w:numPr>
          <w:ilvl w:val="0"/>
          <w:numId w:val="1"/>
        </w:numPr>
      </w:pPr>
      <w:r>
        <w:t>Examen clinique du patient</w:t>
      </w:r>
    </w:p>
    <w:p w14:paraId="69442309" w14:textId="7B583421" w:rsidR="005128D3" w:rsidRDefault="005128D3" w:rsidP="005128D3">
      <w:r>
        <w:t>Détection d’éventuels signes cliniques d’exclusion afin d’éliminer d’éventuels diagnostics différentiels (</w:t>
      </w:r>
      <w:r w:rsidR="00295E96">
        <w:t xml:space="preserve">cf. document à disposition </w:t>
      </w:r>
      <w:r w:rsidR="00295E96">
        <w:rPr>
          <w:i/>
          <w:iCs/>
        </w:rPr>
        <w:t>« </w:t>
      </w:r>
      <w:r w:rsidR="00047925">
        <w:rPr>
          <w:i/>
          <w:iCs/>
        </w:rPr>
        <w:t xml:space="preserve">PR. 01.2 – </w:t>
      </w:r>
      <w:r w:rsidR="00295E96">
        <w:rPr>
          <w:i/>
          <w:iCs/>
        </w:rPr>
        <w:t>Formulaire de prise en charge patient »</w:t>
      </w:r>
      <w:r w:rsidR="00295E96">
        <w:t xml:space="preserve"> partie « données cliniques » et annexe 1 « critères d’exclusion » du protocole)</w:t>
      </w:r>
    </w:p>
    <w:p w14:paraId="538C017E" w14:textId="77777777" w:rsidR="00295E96" w:rsidRDefault="00295E96" w:rsidP="005128D3"/>
    <w:p w14:paraId="75CE672B" w14:textId="6BFCC8F6" w:rsidR="005128D3" w:rsidRDefault="005128D3" w:rsidP="005128D3">
      <w:r w:rsidRPr="00E52048">
        <w:rPr>
          <w:b/>
          <w:bCs/>
          <w:u w:val="single"/>
        </w:rPr>
        <w:t>Remarque</w:t>
      </w:r>
      <w:r>
        <w:t> : le protocole de prise en charge peut être interrompu à cette étape</w:t>
      </w:r>
      <w:r w:rsidR="00E52048">
        <w:t xml:space="preserve"> à tout moment en cas de doute du pharmacien d’officine ou de l’infirmier</w:t>
      </w:r>
    </w:p>
    <w:p w14:paraId="218EDC3E" w14:textId="00A3F6E4" w:rsidR="005128D3" w:rsidRDefault="005128D3" w:rsidP="005128D3"/>
    <w:p w14:paraId="2D433D6E" w14:textId="1F431BCA" w:rsidR="005128D3" w:rsidRDefault="005128D3" w:rsidP="005128D3">
      <w:pPr>
        <w:pStyle w:val="Titre2"/>
        <w:numPr>
          <w:ilvl w:val="0"/>
          <w:numId w:val="1"/>
        </w:numPr>
      </w:pPr>
      <w:r>
        <w:t>Réalisation du score de Mac-Isaac et interprétation</w:t>
      </w:r>
    </w:p>
    <w:p w14:paraId="0FBC9976" w14:textId="01D4D166" w:rsidR="005128D3" w:rsidRDefault="005128D3" w:rsidP="005128D3">
      <w:r>
        <w:t>Réaliser si le patient est éligible et interpréter (</w:t>
      </w:r>
      <w:r w:rsidR="00295E96">
        <w:t xml:space="preserve">cf. document à disposition </w:t>
      </w:r>
      <w:r w:rsidR="00295E96">
        <w:rPr>
          <w:i/>
          <w:iCs/>
        </w:rPr>
        <w:t>« </w:t>
      </w:r>
      <w:r w:rsidR="00047925">
        <w:rPr>
          <w:i/>
          <w:iCs/>
        </w:rPr>
        <w:t xml:space="preserve">PR. 01.2 – </w:t>
      </w:r>
      <w:r w:rsidR="00295E96">
        <w:rPr>
          <w:i/>
          <w:iCs/>
        </w:rPr>
        <w:t>Formulaire de prise en charge patient »</w:t>
      </w:r>
      <w:r w:rsidR="00295E96">
        <w:t xml:space="preserve"> partie « Score de Mac-Isaac »). </w:t>
      </w:r>
    </w:p>
    <w:p w14:paraId="4278B223" w14:textId="77777777" w:rsidR="00295E96" w:rsidRDefault="00295E96" w:rsidP="005128D3"/>
    <w:p w14:paraId="42008155" w14:textId="1669515E" w:rsidR="005128D3" w:rsidRPr="005128D3" w:rsidRDefault="005128D3" w:rsidP="005128D3">
      <w:pPr>
        <w:pStyle w:val="Titre2"/>
        <w:numPr>
          <w:ilvl w:val="0"/>
          <w:numId w:val="1"/>
        </w:numPr>
      </w:pPr>
      <w:r>
        <w:t>Réalisation du TDR</w:t>
      </w:r>
    </w:p>
    <w:p w14:paraId="12D78511" w14:textId="483DBD5D" w:rsidR="00BD5A33" w:rsidRDefault="00BD5A33" w:rsidP="00521E00">
      <w:r>
        <w:t>Si indiqué.</w:t>
      </w:r>
    </w:p>
    <w:p w14:paraId="07556AC8" w14:textId="7B861498" w:rsidR="00295E96" w:rsidRPr="00295E96" w:rsidRDefault="00295E96" w:rsidP="00521E00">
      <w:pPr>
        <w:rPr>
          <w:i/>
          <w:iCs/>
        </w:rPr>
      </w:pPr>
      <w:r>
        <w:lastRenderedPageBreak/>
        <w:t xml:space="preserve">Cf. document à disposition </w:t>
      </w:r>
      <w:r>
        <w:rPr>
          <w:i/>
          <w:iCs/>
        </w:rPr>
        <w:t>« </w:t>
      </w:r>
      <w:r w:rsidR="00047925">
        <w:rPr>
          <w:i/>
          <w:iCs/>
        </w:rPr>
        <w:t xml:space="preserve">P. 02 – </w:t>
      </w:r>
      <w:r>
        <w:rPr>
          <w:i/>
          <w:iCs/>
        </w:rPr>
        <w:t>Procédure pour la réalisation du TROD angine à l’officine ou au cabinet infirmier »</w:t>
      </w:r>
    </w:p>
    <w:p w14:paraId="038333CE" w14:textId="5B670754" w:rsidR="00E01A1F" w:rsidRDefault="00E01A1F" w:rsidP="00521E00"/>
    <w:p w14:paraId="1A9102C6" w14:textId="6957775E" w:rsidR="00E01A1F" w:rsidRDefault="00E01A1F" w:rsidP="00E01A1F">
      <w:pPr>
        <w:pStyle w:val="Titre2"/>
        <w:numPr>
          <w:ilvl w:val="0"/>
          <w:numId w:val="1"/>
        </w:numPr>
      </w:pPr>
      <w:r>
        <w:t>Prescription</w:t>
      </w:r>
    </w:p>
    <w:p w14:paraId="5B8B351A" w14:textId="61D0F6E4" w:rsidR="00E01A1F" w:rsidRDefault="00295E96" w:rsidP="00E01A1F">
      <w:r>
        <w:t xml:space="preserve">Si le test est </w:t>
      </w:r>
      <w:r w:rsidRPr="00840357">
        <w:rPr>
          <w:b/>
          <w:bCs/>
        </w:rPr>
        <w:t>positif</w:t>
      </w:r>
      <w:r>
        <w:t xml:space="preserve"> : prescription d’une antibiothérapie adaptée et d’un traitement symptomatique selon une prescription type établie lors de la formation du pharmacien d’officine et de l’IDE et intégrée dans le document à disposition </w:t>
      </w:r>
      <w:r>
        <w:rPr>
          <w:i/>
          <w:iCs/>
        </w:rPr>
        <w:t>« </w:t>
      </w:r>
      <w:r w:rsidR="00047925">
        <w:rPr>
          <w:i/>
          <w:iCs/>
        </w:rPr>
        <w:t xml:space="preserve">PR. 01.2 – </w:t>
      </w:r>
      <w:r>
        <w:rPr>
          <w:i/>
          <w:iCs/>
        </w:rPr>
        <w:t>Formulaire de prise en charge »</w:t>
      </w:r>
    </w:p>
    <w:p w14:paraId="14E9700A" w14:textId="5A7BE9A0" w:rsidR="00295E96" w:rsidRDefault="00295E96" w:rsidP="00E01A1F"/>
    <w:p w14:paraId="74214642" w14:textId="289C636B" w:rsidR="00295E96" w:rsidRDefault="00295E96" w:rsidP="00295E96">
      <w:r>
        <w:t xml:space="preserve">Si le test est </w:t>
      </w:r>
      <w:r w:rsidRPr="00840357">
        <w:rPr>
          <w:b/>
          <w:bCs/>
        </w:rPr>
        <w:t>négatif</w:t>
      </w:r>
      <w:r>
        <w:t xml:space="preserve"> : prescription d’un traitement symptomatique selon une prescription type établie lors de la formation du pharmacien d’officine et de l’IDE et intégrée dans le document à disposition </w:t>
      </w:r>
      <w:r>
        <w:rPr>
          <w:i/>
          <w:iCs/>
        </w:rPr>
        <w:t>« </w:t>
      </w:r>
      <w:r w:rsidR="00047925">
        <w:rPr>
          <w:i/>
          <w:iCs/>
        </w:rPr>
        <w:t xml:space="preserve">PR. 01.2 – </w:t>
      </w:r>
      <w:r>
        <w:rPr>
          <w:i/>
          <w:iCs/>
        </w:rPr>
        <w:t>Formulaire de prise en charge »</w:t>
      </w:r>
    </w:p>
    <w:p w14:paraId="0575B7D6" w14:textId="324A39E2" w:rsidR="00E01A1F" w:rsidRDefault="00E01A1F" w:rsidP="00E01A1F"/>
    <w:p w14:paraId="649B5A0F" w14:textId="78C43E06" w:rsidR="00295E96" w:rsidRDefault="00295E96" w:rsidP="00E01A1F">
      <w:r>
        <w:t>Dans tous les cas, donner les conseils hygiéno-diététiques adaptés</w:t>
      </w:r>
    </w:p>
    <w:p w14:paraId="1B8C711B" w14:textId="75DBD546" w:rsidR="00295E96" w:rsidRDefault="00295E96" w:rsidP="00E01A1F"/>
    <w:p w14:paraId="0D91CEAD" w14:textId="39B66958" w:rsidR="00295E96" w:rsidRDefault="00295E96" w:rsidP="00E01A1F">
      <w:r>
        <w:t>Prescription de l’arrêt de travail au besoin</w:t>
      </w:r>
    </w:p>
    <w:p w14:paraId="25F42166" w14:textId="21B20406" w:rsidR="00295E96" w:rsidRDefault="00295E96" w:rsidP="00E01A1F"/>
    <w:p w14:paraId="455115F9" w14:textId="3398F5E7" w:rsidR="00295E96" w:rsidRDefault="00295E96" w:rsidP="00E01A1F">
      <w:r>
        <w:t>Toutes les étapes 1 à 6 sont résumées dans le logigramme en Annexe 1</w:t>
      </w:r>
    </w:p>
    <w:p w14:paraId="053B7290" w14:textId="77777777" w:rsidR="00295E96" w:rsidRDefault="00295E96" w:rsidP="00E01A1F"/>
    <w:p w14:paraId="597D7D42" w14:textId="561BB4A6" w:rsidR="00E01A1F" w:rsidRDefault="00E01A1F" w:rsidP="00E01A1F">
      <w:pPr>
        <w:pStyle w:val="Titre2"/>
        <w:numPr>
          <w:ilvl w:val="0"/>
          <w:numId w:val="1"/>
        </w:numPr>
      </w:pPr>
      <w:r>
        <w:t xml:space="preserve">Fin de la prise en charge </w:t>
      </w:r>
    </w:p>
    <w:p w14:paraId="7FEE2A21" w14:textId="171F17D5" w:rsidR="00E01A1F" w:rsidRDefault="00E01A1F" w:rsidP="00E01A1F">
      <w:pPr>
        <w:pStyle w:val="Paragraphedeliste"/>
        <w:numPr>
          <w:ilvl w:val="0"/>
          <w:numId w:val="2"/>
        </w:numPr>
      </w:pPr>
      <w:r>
        <w:t>Remettre au patient une synthèse de la prise en charge (</w:t>
      </w:r>
      <w:proofErr w:type="spellStart"/>
      <w:r>
        <w:t>Cf</w:t>
      </w:r>
      <w:proofErr w:type="spellEnd"/>
      <w:r>
        <w:t xml:space="preserve"> document </w:t>
      </w:r>
      <w:r w:rsidR="00295E96">
        <w:t xml:space="preserve">à disposition </w:t>
      </w:r>
      <w:r w:rsidRPr="00295E96">
        <w:rPr>
          <w:i/>
          <w:iCs/>
        </w:rPr>
        <w:t>« </w:t>
      </w:r>
      <w:r w:rsidR="00047925">
        <w:rPr>
          <w:i/>
          <w:iCs/>
        </w:rPr>
        <w:t>E. 02 – S</w:t>
      </w:r>
      <w:r w:rsidRPr="00295E96">
        <w:rPr>
          <w:i/>
          <w:iCs/>
        </w:rPr>
        <w:t>ynthèse de la prise en charge »</w:t>
      </w:r>
      <w:r>
        <w:t>)</w:t>
      </w:r>
      <w:r w:rsidR="00295E96">
        <w:t xml:space="preserve"> </w:t>
      </w:r>
      <w:r w:rsidR="00295E96">
        <w:sym w:font="Wingdings" w:char="F0E0"/>
      </w:r>
      <w:r w:rsidR="00295E96">
        <w:t xml:space="preserve"> </w:t>
      </w:r>
      <w:r w:rsidR="00295E96" w:rsidRPr="00295E96">
        <w:rPr>
          <w:b/>
          <w:bCs/>
        </w:rPr>
        <w:t>communication des résultats au patient</w:t>
      </w:r>
    </w:p>
    <w:p w14:paraId="66B1F680" w14:textId="5EDF5878" w:rsidR="00295E96" w:rsidRPr="00BE0E1F" w:rsidRDefault="00295E96" w:rsidP="00E01A1F">
      <w:pPr>
        <w:pStyle w:val="Paragraphedeliste"/>
        <w:numPr>
          <w:ilvl w:val="0"/>
          <w:numId w:val="2"/>
        </w:numPr>
      </w:pPr>
      <w:r>
        <w:t>Terminer de remplir le formulaire de prise en charge</w:t>
      </w:r>
      <w:r w:rsidR="00BE0E1F">
        <w:t>,</w:t>
      </w:r>
      <w:r>
        <w:t xml:space="preserve"> </w:t>
      </w:r>
      <w:r w:rsidR="00506CF0">
        <w:t>le saisir dans le système d’information partagé</w:t>
      </w:r>
      <w:r w:rsidR="00BE0E1F">
        <w:t xml:space="preserve"> et l’archiver à la pharmacie ou au cabinet infirmier</w:t>
      </w:r>
      <w:r>
        <w:t xml:space="preserve"> (cf. document à disposition </w:t>
      </w:r>
      <w:r w:rsidRPr="00295E96">
        <w:rPr>
          <w:i/>
          <w:iCs/>
        </w:rPr>
        <w:t>« </w:t>
      </w:r>
      <w:r w:rsidR="00047925">
        <w:rPr>
          <w:i/>
          <w:iCs/>
        </w:rPr>
        <w:t xml:space="preserve">PR. 01.2 – </w:t>
      </w:r>
      <w:r w:rsidRPr="00295E96">
        <w:rPr>
          <w:i/>
          <w:iCs/>
        </w:rPr>
        <w:t>Formulaire de prise en charge patient »</w:t>
      </w:r>
      <w:r>
        <w:t xml:space="preserve"> </w:t>
      </w:r>
      <w:r>
        <w:sym w:font="Wingdings" w:char="F0E0"/>
      </w:r>
      <w:r>
        <w:t xml:space="preserve"> </w:t>
      </w:r>
      <w:r>
        <w:rPr>
          <w:b/>
          <w:bCs/>
        </w:rPr>
        <w:t>traçabilité des résultats</w:t>
      </w:r>
    </w:p>
    <w:p w14:paraId="22C0B687" w14:textId="25D1DD69" w:rsidR="00BE0E1F" w:rsidRPr="00BE0E1F" w:rsidRDefault="00BE0E1F" w:rsidP="00E01A1F">
      <w:pPr>
        <w:pStyle w:val="Paragraphedeliste"/>
        <w:numPr>
          <w:ilvl w:val="0"/>
          <w:numId w:val="2"/>
        </w:numPr>
        <w:rPr>
          <w:b/>
          <w:bCs/>
        </w:rPr>
      </w:pPr>
      <w:r>
        <w:t>Compléter le tableau de traçabilité de la prise en charge patient (cf. document à disposition « </w:t>
      </w:r>
      <w:r w:rsidR="00047925">
        <w:rPr>
          <w:i/>
          <w:iCs/>
        </w:rPr>
        <w:t>E.</w:t>
      </w:r>
      <w:r w:rsidR="00A241E2">
        <w:rPr>
          <w:i/>
          <w:iCs/>
        </w:rPr>
        <w:t xml:space="preserve"> </w:t>
      </w:r>
      <w:r w:rsidR="00047925">
        <w:rPr>
          <w:i/>
          <w:iCs/>
        </w:rPr>
        <w:t>04</w:t>
      </w:r>
      <w:r w:rsidR="00A241E2">
        <w:rPr>
          <w:i/>
          <w:iCs/>
        </w:rPr>
        <w:t xml:space="preserve"> – </w:t>
      </w:r>
      <w:r>
        <w:rPr>
          <w:i/>
          <w:iCs/>
        </w:rPr>
        <w:t>Traçabilité des prises en charge patient</w:t>
      </w:r>
      <w:r>
        <w:t xml:space="preserve"> ») </w:t>
      </w:r>
      <w:r>
        <w:sym w:font="Wingdings" w:char="F0E0"/>
      </w:r>
      <w:r>
        <w:t xml:space="preserve"> </w:t>
      </w:r>
      <w:r w:rsidRPr="00BE0E1F">
        <w:rPr>
          <w:b/>
          <w:bCs/>
        </w:rPr>
        <w:t xml:space="preserve">Traçabilité des prises en </w:t>
      </w:r>
      <w:r w:rsidR="00182108" w:rsidRPr="00BE0E1F">
        <w:rPr>
          <w:b/>
          <w:bCs/>
        </w:rPr>
        <w:t>charge</w:t>
      </w:r>
    </w:p>
    <w:p w14:paraId="642A1414" w14:textId="15974154" w:rsidR="00E01A1F" w:rsidRDefault="00E01A1F" w:rsidP="00E01A1F">
      <w:pPr>
        <w:pStyle w:val="Paragraphedeliste"/>
        <w:numPr>
          <w:ilvl w:val="0"/>
          <w:numId w:val="2"/>
        </w:numPr>
      </w:pPr>
      <w:r>
        <w:t>Remettre au patient la prescription établie (et la dispenser si la prise en charge est réalisée par le pharmacien d’officine)</w:t>
      </w:r>
    </w:p>
    <w:p w14:paraId="2B8F9141" w14:textId="15A71094" w:rsidR="00E01A1F" w:rsidRDefault="00E01A1F" w:rsidP="00E01A1F">
      <w:pPr>
        <w:pStyle w:val="Paragraphedeliste"/>
        <w:numPr>
          <w:ilvl w:val="0"/>
          <w:numId w:val="2"/>
        </w:numPr>
      </w:pPr>
      <w:r>
        <w:t>Remettre au patient l’attestation d’arrêt de travail, si besoin</w:t>
      </w:r>
    </w:p>
    <w:p w14:paraId="02046020" w14:textId="77777777" w:rsidR="00506CF0" w:rsidRPr="00506CF0" w:rsidRDefault="00A241E2" w:rsidP="00506CF0">
      <w:pPr>
        <w:pStyle w:val="Paragraphedeliste"/>
        <w:numPr>
          <w:ilvl w:val="0"/>
          <w:numId w:val="2"/>
        </w:numPr>
      </w:pPr>
      <w:r>
        <w:t>Remplir l’enquête pharmacien/IDE pour le suivi du protocole (</w:t>
      </w:r>
      <w:proofErr w:type="spellStart"/>
      <w:r>
        <w:t>Cf</w:t>
      </w:r>
      <w:proofErr w:type="spellEnd"/>
      <w:r>
        <w:t xml:space="preserve"> document à disposition </w:t>
      </w:r>
      <w:r w:rsidRPr="00506CF0">
        <w:rPr>
          <w:i/>
          <w:iCs/>
        </w:rPr>
        <w:t>« PR. 01.3 – Enquête de satisfaction pharmacien/infirmier »</w:t>
      </w:r>
      <w:r>
        <w:t>)</w:t>
      </w:r>
      <w:r w:rsidR="00506CF0">
        <w:t xml:space="preserve"> </w:t>
      </w:r>
      <w:r w:rsidR="00506CF0" w:rsidRPr="00506CF0">
        <w:sym w:font="Wingdings" w:char="F0E0"/>
      </w:r>
      <w:r w:rsidR="00506CF0" w:rsidRPr="00506CF0">
        <w:t xml:space="preserve"> </w:t>
      </w:r>
      <w:r w:rsidR="00506CF0" w:rsidRPr="00506CF0">
        <w:rPr>
          <w:b/>
          <w:bCs/>
        </w:rPr>
        <w:t>suivi du protocole</w:t>
      </w:r>
    </w:p>
    <w:p w14:paraId="4F43AE80" w14:textId="7CE86039" w:rsidR="00506CF0" w:rsidRPr="00506CF0" w:rsidRDefault="00E01A1F" w:rsidP="001A43FA">
      <w:pPr>
        <w:pStyle w:val="Paragraphedeliste"/>
        <w:numPr>
          <w:ilvl w:val="0"/>
          <w:numId w:val="2"/>
        </w:numPr>
      </w:pPr>
      <w:r>
        <w:t>Faire remplir l’enquête patient pour le suivi du protocole (</w:t>
      </w:r>
      <w:proofErr w:type="spellStart"/>
      <w:r>
        <w:t>Cf</w:t>
      </w:r>
      <w:proofErr w:type="spellEnd"/>
      <w:r>
        <w:t xml:space="preserve"> document</w:t>
      </w:r>
      <w:r w:rsidR="00295E96">
        <w:t xml:space="preserve"> à disposition</w:t>
      </w:r>
      <w:r>
        <w:t xml:space="preserve"> </w:t>
      </w:r>
      <w:r w:rsidRPr="00506CF0">
        <w:rPr>
          <w:i/>
          <w:iCs/>
        </w:rPr>
        <w:t>« </w:t>
      </w:r>
      <w:r w:rsidR="00A241E2" w:rsidRPr="00506CF0">
        <w:rPr>
          <w:i/>
          <w:iCs/>
        </w:rPr>
        <w:t>PR. 01.4 – E</w:t>
      </w:r>
      <w:r w:rsidRPr="00506CF0">
        <w:rPr>
          <w:i/>
          <w:iCs/>
        </w:rPr>
        <w:t>nquête de satisfaction patient »</w:t>
      </w:r>
      <w:r>
        <w:t>)</w:t>
      </w:r>
      <w:r w:rsidR="00506CF0">
        <w:t xml:space="preserve"> </w:t>
      </w:r>
      <w:r w:rsidR="00506CF0" w:rsidRPr="00506CF0">
        <w:sym w:font="Wingdings" w:char="F0E0"/>
      </w:r>
      <w:r w:rsidR="00506CF0" w:rsidRPr="00506CF0">
        <w:t xml:space="preserve"> </w:t>
      </w:r>
      <w:r w:rsidR="00506CF0" w:rsidRPr="00506CF0">
        <w:rPr>
          <w:b/>
          <w:bCs/>
        </w:rPr>
        <w:t>suivi du protocole</w:t>
      </w:r>
    </w:p>
    <w:p w14:paraId="2BBD32BA" w14:textId="728A4DD9" w:rsidR="00E01A1F" w:rsidRDefault="00E01A1F" w:rsidP="00E01A1F">
      <w:pPr>
        <w:pStyle w:val="Paragraphedeliste"/>
        <w:numPr>
          <w:ilvl w:val="0"/>
          <w:numId w:val="2"/>
        </w:numPr>
      </w:pPr>
    </w:p>
    <w:p w14:paraId="59430786" w14:textId="7F8910AE" w:rsidR="00806021" w:rsidRDefault="00806021" w:rsidP="00295E96">
      <w:pPr>
        <w:pStyle w:val="Paragraphedeliste"/>
        <w:numPr>
          <w:ilvl w:val="0"/>
          <w:numId w:val="2"/>
        </w:numPr>
      </w:pPr>
      <w:r>
        <w:br w:type="page"/>
      </w:r>
    </w:p>
    <w:p w14:paraId="33C78C44" w14:textId="41ABC127" w:rsidR="005E4BCB" w:rsidRDefault="00295E96" w:rsidP="00295E96">
      <w:pPr>
        <w:pStyle w:val="Titre1"/>
      </w:pPr>
      <w:r>
        <w:lastRenderedPageBreak/>
        <w:t xml:space="preserve">Annexe 1 : logigramme </w:t>
      </w:r>
      <w:r w:rsidR="00506CF0">
        <w:t xml:space="preserve">général </w:t>
      </w:r>
      <w:r>
        <w:t>de la prise en charge</w:t>
      </w:r>
    </w:p>
    <w:p w14:paraId="53389046" w14:textId="4A92A9C6" w:rsidR="005E4BCB" w:rsidRPr="005E4BCB" w:rsidRDefault="00DA0421" w:rsidP="005E4BCB">
      <w:r w:rsidRPr="00DA0421">
        <w:drawing>
          <wp:inline distT="0" distB="0" distL="0" distR="0" wp14:anchorId="7787DBEE" wp14:editId="7879A977">
            <wp:extent cx="5760720" cy="6918960"/>
            <wp:effectExtent l="0" t="0" r="508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918960"/>
                    </a:xfrm>
                    <a:prstGeom prst="rect">
                      <a:avLst/>
                    </a:prstGeom>
                  </pic:spPr>
                </pic:pic>
              </a:graphicData>
            </a:graphic>
          </wp:inline>
        </w:drawing>
      </w:r>
    </w:p>
    <w:p w14:paraId="5A0CE621" w14:textId="30A22819" w:rsidR="00295E96" w:rsidRDefault="00295E96" w:rsidP="005E4BCB">
      <w:r>
        <w:br w:type="page"/>
      </w:r>
    </w:p>
    <w:p w14:paraId="0D7BFE51" w14:textId="4E60058B" w:rsidR="00E16EC1" w:rsidRDefault="00E16EC1" w:rsidP="00E16EC1">
      <w:pPr>
        <w:pStyle w:val="Titre"/>
      </w:pPr>
      <w:r>
        <w:lastRenderedPageBreak/>
        <w:t>Informations de traçabilité du document</w:t>
      </w:r>
    </w:p>
    <w:p w14:paraId="54C17D29" w14:textId="77777777" w:rsidR="00E16EC1" w:rsidRPr="00E16EC1" w:rsidRDefault="00E16EC1" w:rsidP="00E16EC1"/>
    <w:tbl>
      <w:tblPr>
        <w:tblStyle w:val="Grilledutableau"/>
        <w:tblW w:w="0" w:type="auto"/>
        <w:tblLook w:val="04A0" w:firstRow="1" w:lastRow="0" w:firstColumn="1" w:lastColumn="0" w:noHBand="0" w:noVBand="1"/>
      </w:tblPr>
      <w:tblGrid>
        <w:gridCol w:w="4531"/>
        <w:gridCol w:w="4531"/>
      </w:tblGrid>
      <w:tr w:rsidR="00E16EC1" w14:paraId="5BF26086" w14:textId="77777777" w:rsidTr="009E10FA">
        <w:tc>
          <w:tcPr>
            <w:tcW w:w="4531" w:type="dxa"/>
            <w:vAlign w:val="center"/>
          </w:tcPr>
          <w:p w14:paraId="68D81AA7" w14:textId="77777777" w:rsidR="00E16EC1" w:rsidRPr="00E16EC1" w:rsidRDefault="00E16EC1" w:rsidP="009E10FA">
            <w:pPr>
              <w:jc w:val="center"/>
              <w:rPr>
                <w:b/>
                <w:bCs/>
              </w:rPr>
            </w:pPr>
            <w:r w:rsidRPr="00E16EC1">
              <w:rPr>
                <w:b/>
                <w:bCs/>
              </w:rPr>
              <w:t>Nom de la structure pluriprofessionnelle</w:t>
            </w:r>
          </w:p>
        </w:tc>
        <w:tc>
          <w:tcPr>
            <w:tcW w:w="4531" w:type="dxa"/>
            <w:vAlign w:val="center"/>
          </w:tcPr>
          <w:p w14:paraId="45835F78" w14:textId="77777777" w:rsidR="00E16EC1" w:rsidRDefault="00E16EC1" w:rsidP="009E10FA">
            <w:pPr>
              <w:jc w:val="center"/>
            </w:pPr>
          </w:p>
        </w:tc>
      </w:tr>
      <w:tr w:rsidR="00E16EC1" w14:paraId="72AE83BD" w14:textId="77777777" w:rsidTr="009E10FA">
        <w:tc>
          <w:tcPr>
            <w:tcW w:w="4531" w:type="dxa"/>
            <w:vAlign w:val="center"/>
          </w:tcPr>
          <w:p w14:paraId="7C6DDE07" w14:textId="77777777" w:rsidR="00E16EC1" w:rsidRPr="00E16EC1" w:rsidRDefault="00E16EC1" w:rsidP="009E10FA">
            <w:pPr>
              <w:jc w:val="center"/>
              <w:rPr>
                <w:b/>
                <w:bCs/>
              </w:rPr>
            </w:pPr>
            <w:r w:rsidRPr="00E16EC1">
              <w:rPr>
                <w:b/>
                <w:bCs/>
              </w:rPr>
              <w:t>Date de rédaction initiale</w:t>
            </w:r>
          </w:p>
        </w:tc>
        <w:tc>
          <w:tcPr>
            <w:tcW w:w="4531" w:type="dxa"/>
            <w:vAlign w:val="center"/>
          </w:tcPr>
          <w:p w14:paraId="1DEB9B38" w14:textId="77777777" w:rsidR="00E16EC1" w:rsidRDefault="00E16EC1" w:rsidP="009E10FA">
            <w:pPr>
              <w:jc w:val="center"/>
            </w:pPr>
            <w:r>
              <w:t>30/08/2021</w:t>
            </w:r>
          </w:p>
        </w:tc>
      </w:tr>
      <w:tr w:rsidR="00E16EC1" w14:paraId="64103BF8" w14:textId="77777777" w:rsidTr="009E10FA">
        <w:tc>
          <w:tcPr>
            <w:tcW w:w="4531" w:type="dxa"/>
            <w:vAlign w:val="center"/>
          </w:tcPr>
          <w:p w14:paraId="2C00E60B" w14:textId="77777777" w:rsidR="00E16EC1" w:rsidRPr="00E16EC1" w:rsidRDefault="00E16EC1" w:rsidP="009E10FA">
            <w:pPr>
              <w:jc w:val="center"/>
              <w:rPr>
                <w:b/>
                <w:bCs/>
              </w:rPr>
            </w:pPr>
            <w:r w:rsidRPr="00E16EC1">
              <w:rPr>
                <w:b/>
                <w:bCs/>
              </w:rPr>
              <w:t>Dernière date de révision</w:t>
            </w:r>
          </w:p>
        </w:tc>
        <w:tc>
          <w:tcPr>
            <w:tcW w:w="4531" w:type="dxa"/>
            <w:vAlign w:val="center"/>
          </w:tcPr>
          <w:p w14:paraId="3985FB8E" w14:textId="77777777" w:rsidR="00E16EC1" w:rsidRDefault="00E16EC1" w:rsidP="009E10FA">
            <w:pPr>
              <w:jc w:val="center"/>
            </w:pPr>
            <w:r>
              <w:t>30/08/2021</w:t>
            </w:r>
          </w:p>
        </w:tc>
      </w:tr>
      <w:tr w:rsidR="00E16EC1" w14:paraId="6AC96E5F" w14:textId="77777777" w:rsidTr="009E10FA">
        <w:tc>
          <w:tcPr>
            <w:tcW w:w="4531" w:type="dxa"/>
            <w:vAlign w:val="center"/>
          </w:tcPr>
          <w:p w14:paraId="5DD97A93" w14:textId="619B792A" w:rsidR="00E16EC1" w:rsidRPr="00E16EC1" w:rsidRDefault="00E16EC1" w:rsidP="009E10FA">
            <w:pPr>
              <w:jc w:val="center"/>
              <w:rPr>
                <w:b/>
                <w:bCs/>
              </w:rPr>
            </w:pPr>
            <w:r w:rsidRPr="00E16EC1">
              <w:rPr>
                <w:b/>
                <w:bCs/>
              </w:rPr>
              <w:t>N° de version</w:t>
            </w:r>
            <w:r>
              <w:rPr>
                <w:b/>
                <w:bCs/>
              </w:rPr>
              <w:t xml:space="preserve"> actuel</w:t>
            </w:r>
          </w:p>
        </w:tc>
        <w:tc>
          <w:tcPr>
            <w:tcW w:w="4531" w:type="dxa"/>
            <w:vAlign w:val="center"/>
          </w:tcPr>
          <w:p w14:paraId="7B403F4D" w14:textId="77777777" w:rsidR="00E16EC1" w:rsidRDefault="00E16EC1" w:rsidP="009E10FA">
            <w:pPr>
              <w:jc w:val="center"/>
            </w:pPr>
            <w:r>
              <w:t>1</w:t>
            </w:r>
          </w:p>
        </w:tc>
      </w:tr>
      <w:tr w:rsidR="00E16EC1" w14:paraId="048CD27D" w14:textId="77777777" w:rsidTr="009E10FA">
        <w:tc>
          <w:tcPr>
            <w:tcW w:w="4531" w:type="dxa"/>
            <w:vAlign w:val="center"/>
          </w:tcPr>
          <w:p w14:paraId="4C9C2706" w14:textId="77777777" w:rsidR="00E16EC1" w:rsidRPr="00E16EC1" w:rsidRDefault="00E16EC1" w:rsidP="009E10FA">
            <w:pPr>
              <w:jc w:val="center"/>
              <w:rPr>
                <w:b/>
                <w:bCs/>
              </w:rPr>
            </w:pPr>
            <w:r w:rsidRPr="00E16EC1">
              <w:rPr>
                <w:b/>
                <w:bCs/>
              </w:rPr>
              <w:t>Nombre de pages</w:t>
            </w:r>
          </w:p>
        </w:tc>
        <w:tc>
          <w:tcPr>
            <w:tcW w:w="4531" w:type="dxa"/>
            <w:vAlign w:val="center"/>
          </w:tcPr>
          <w:p w14:paraId="1D91FC68" w14:textId="5953593E" w:rsidR="00E16EC1" w:rsidRDefault="00D41426" w:rsidP="009E10FA">
            <w:pPr>
              <w:jc w:val="center"/>
            </w:pPr>
            <w:r>
              <w:t>4</w:t>
            </w:r>
          </w:p>
        </w:tc>
      </w:tr>
      <w:tr w:rsidR="00E16EC1" w14:paraId="56E75E63" w14:textId="77777777" w:rsidTr="009E10FA">
        <w:tc>
          <w:tcPr>
            <w:tcW w:w="4531" w:type="dxa"/>
            <w:vAlign w:val="center"/>
          </w:tcPr>
          <w:p w14:paraId="2973BB6F" w14:textId="77777777" w:rsidR="00E16EC1" w:rsidRPr="00E16EC1" w:rsidRDefault="00E16EC1" w:rsidP="009E10FA">
            <w:pPr>
              <w:jc w:val="center"/>
              <w:rPr>
                <w:b/>
                <w:bCs/>
              </w:rPr>
            </w:pPr>
            <w:r w:rsidRPr="00E16EC1">
              <w:rPr>
                <w:b/>
                <w:bCs/>
              </w:rPr>
              <w:t>Date de validation</w:t>
            </w:r>
          </w:p>
        </w:tc>
        <w:tc>
          <w:tcPr>
            <w:tcW w:w="4531" w:type="dxa"/>
            <w:vAlign w:val="center"/>
          </w:tcPr>
          <w:p w14:paraId="57EA69BD" w14:textId="77777777" w:rsidR="00E16EC1" w:rsidRDefault="00E16EC1" w:rsidP="009E10FA">
            <w:pPr>
              <w:jc w:val="center"/>
            </w:pPr>
            <w:r>
              <w:t>30/08/2021</w:t>
            </w:r>
          </w:p>
        </w:tc>
      </w:tr>
      <w:tr w:rsidR="00E16EC1" w14:paraId="2423B5FA" w14:textId="77777777" w:rsidTr="009E10FA">
        <w:tc>
          <w:tcPr>
            <w:tcW w:w="4531" w:type="dxa"/>
            <w:vAlign w:val="center"/>
          </w:tcPr>
          <w:p w14:paraId="051CD6EF" w14:textId="77777777" w:rsidR="00E16EC1" w:rsidRPr="00E16EC1" w:rsidRDefault="00E16EC1" w:rsidP="009E10FA">
            <w:pPr>
              <w:jc w:val="center"/>
              <w:rPr>
                <w:b/>
                <w:bCs/>
              </w:rPr>
            </w:pPr>
            <w:r w:rsidRPr="00E16EC1">
              <w:rPr>
                <w:b/>
                <w:bCs/>
              </w:rPr>
              <w:t>Référence du document</w:t>
            </w:r>
          </w:p>
        </w:tc>
        <w:tc>
          <w:tcPr>
            <w:tcW w:w="4531" w:type="dxa"/>
            <w:vAlign w:val="center"/>
          </w:tcPr>
          <w:p w14:paraId="3E6E2F91" w14:textId="77777777" w:rsidR="00E16EC1" w:rsidRDefault="00E16EC1" w:rsidP="009E10FA">
            <w:pPr>
              <w:jc w:val="center"/>
            </w:pPr>
            <w:r>
              <w:t>P. 01 – Procédure pratique de prise en charge des patients à l’officine ou au cabinet infirmier</w:t>
            </w:r>
          </w:p>
        </w:tc>
      </w:tr>
      <w:tr w:rsidR="00E16EC1" w14:paraId="24131850" w14:textId="77777777" w:rsidTr="009E10FA">
        <w:tc>
          <w:tcPr>
            <w:tcW w:w="4531" w:type="dxa"/>
            <w:vAlign w:val="center"/>
          </w:tcPr>
          <w:p w14:paraId="09090BAB" w14:textId="77777777" w:rsidR="00E16EC1" w:rsidRPr="00E16EC1" w:rsidRDefault="00E16EC1" w:rsidP="009E10FA">
            <w:pPr>
              <w:jc w:val="center"/>
              <w:rPr>
                <w:b/>
                <w:bCs/>
              </w:rPr>
            </w:pPr>
            <w:r w:rsidRPr="00E16EC1">
              <w:rPr>
                <w:b/>
                <w:bCs/>
              </w:rPr>
              <w:t>Rédigé par</w:t>
            </w:r>
          </w:p>
        </w:tc>
        <w:tc>
          <w:tcPr>
            <w:tcW w:w="4531" w:type="dxa"/>
            <w:vAlign w:val="center"/>
          </w:tcPr>
          <w:p w14:paraId="3B115C6A" w14:textId="77777777" w:rsidR="00E16EC1" w:rsidRDefault="00E16EC1" w:rsidP="009E10FA">
            <w:pPr>
              <w:jc w:val="center"/>
            </w:pPr>
            <w:r>
              <w:t>Gaillard Thibault</w:t>
            </w:r>
          </w:p>
        </w:tc>
      </w:tr>
      <w:tr w:rsidR="00E16EC1" w14:paraId="2DA281F3" w14:textId="77777777" w:rsidTr="009E10FA">
        <w:tc>
          <w:tcPr>
            <w:tcW w:w="4531" w:type="dxa"/>
            <w:vAlign w:val="center"/>
          </w:tcPr>
          <w:p w14:paraId="0B988BAF" w14:textId="77777777" w:rsidR="00E16EC1" w:rsidRPr="00E16EC1" w:rsidRDefault="00E16EC1" w:rsidP="009E10FA">
            <w:pPr>
              <w:jc w:val="center"/>
              <w:rPr>
                <w:b/>
                <w:bCs/>
              </w:rPr>
            </w:pPr>
            <w:r w:rsidRPr="00E16EC1">
              <w:rPr>
                <w:b/>
                <w:bCs/>
              </w:rPr>
              <w:t>Accepté par</w:t>
            </w:r>
          </w:p>
        </w:tc>
        <w:tc>
          <w:tcPr>
            <w:tcW w:w="4531" w:type="dxa"/>
            <w:vAlign w:val="center"/>
          </w:tcPr>
          <w:p w14:paraId="76336B26" w14:textId="77777777" w:rsidR="00E16EC1" w:rsidRDefault="00E16EC1" w:rsidP="009E10FA">
            <w:pPr>
              <w:jc w:val="center"/>
            </w:pPr>
          </w:p>
        </w:tc>
      </w:tr>
    </w:tbl>
    <w:p w14:paraId="1847E4E0" w14:textId="6D267245" w:rsidR="00806021" w:rsidRDefault="00295E96" w:rsidP="00295E96">
      <w:pPr>
        <w:pStyle w:val="Titre1"/>
      </w:pPr>
      <w:r>
        <w:t>Historique</w:t>
      </w:r>
    </w:p>
    <w:tbl>
      <w:tblPr>
        <w:tblStyle w:val="Grilledutableau"/>
        <w:tblW w:w="0" w:type="auto"/>
        <w:tblLook w:val="04A0" w:firstRow="1" w:lastRow="0" w:firstColumn="1" w:lastColumn="0" w:noHBand="0" w:noVBand="1"/>
      </w:tblPr>
      <w:tblGrid>
        <w:gridCol w:w="3020"/>
        <w:gridCol w:w="3021"/>
        <w:gridCol w:w="3021"/>
      </w:tblGrid>
      <w:tr w:rsidR="00295E96" w14:paraId="52B8CF0C" w14:textId="77777777" w:rsidTr="00695E82">
        <w:trPr>
          <w:trHeight w:val="624"/>
        </w:trPr>
        <w:tc>
          <w:tcPr>
            <w:tcW w:w="3020" w:type="dxa"/>
            <w:vAlign w:val="center"/>
          </w:tcPr>
          <w:p w14:paraId="60FFDD52" w14:textId="77777777" w:rsidR="00295E96" w:rsidRPr="00221D81" w:rsidRDefault="00295E96" w:rsidP="00695E82">
            <w:pPr>
              <w:jc w:val="center"/>
              <w:rPr>
                <w:b/>
                <w:bCs/>
              </w:rPr>
            </w:pPr>
            <w:r w:rsidRPr="00221D81">
              <w:rPr>
                <w:b/>
                <w:bCs/>
              </w:rPr>
              <w:t>N° de version</w:t>
            </w:r>
          </w:p>
        </w:tc>
        <w:tc>
          <w:tcPr>
            <w:tcW w:w="3021" w:type="dxa"/>
            <w:vAlign w:val="center"/>
          </w:tcPr>
          <w:p w14:paraId="52DA6C1A" w14:textId="77777777" w:rsidR="00295E96" w:rsidRPr="00221D81" w:rsidRDefault="00295E96" w:rsidP="00695E82">
            <w:pPr>
              <w:jc w:val="center"/>
              <w:rPr>
                <w:b/>
                <w:bCs/>
              </w:rPr>
            </w:pPr>
            <w:r w:rsidRPr="00221D81">
              <w:rPr>
                <w:b/>
                <w:bCs/>
              </w:rPr>
              <w:t>Date de modification</w:t>
            </w:r>
          </w:p>
        </w:tc>
        <w:tc>
          <w:tcPr>
            <w:tcW w:w="3021" w:type="dxa"/>
            <w:vAlign w:val="center"/>
          </w:tcPr>
          <w:p w14:paraId="20720F11" w14:textId="77777777" w:rsidR="00295E96" w:rsidRPr="00221D81" w:rsidRDefault="00295E96" w:rsidP="00695E82">
            <w:pPr>
              <w:jc w:val="center"/>
              <w:rPr>
                <w:b/>
                <w:bCs/>
              </w:rPr>
            </w:pPr>
            <w:r w:rsidRPr="00221D81">
              <w:rPr>
                <w:b/>
                <w:bCs/>
              </w:rPr>
              <w:t>Modifications apportée</w:t>
            </w:r>
          </w:p>
        </w:tc>
      </w:tr>
      <w:tr w:rsidR="00295E96" w14:paraId="197E32F7" w14:textId="77777777" w:rsidTr="00695E82">
        <w:trPr>
          <w:trHeight w:val="624"/>
        </w:trPr>
        <w:tc>
          <w:tcPr>
            <w:tcW w:w="3020" w:type="dxa"/>
          </w:tcPr>
          <w:p w14:paraId="16EBF154" w14:textId="77777777" w:rsidR="00295E96" w:rsidRDefault="00295E96" w:rsidP="00695E82"/>
        </w:tc>
        <w:tc>
          <w:tcPr>
            <w:tcW w:w="3021" w:type="dxa"/>
          </w:tcPr>
          <w:p w14:paraId="7495E18E" w14:textId="77777777" w:rsidR="00295E96" w:rsidRDefault="00295E96" w:rsidP="00695E82"/>
        </w:tc>
        <w:tc>
          <w:tcPr>
            <w:tcW w:w="3021" w:type="dxa"/>
          </w:tcPr>
          <w:p w14:paraId="34FAEDB6" w14:textId="77777777" w:rsidR="00295E96" w:rsidRDefault="00295E96" w:rsidP="00695E82"/>
        </w:tc>
      </w:tr>
      <w:tr w:rsidR="00295E96" w14:paraId="38281433" w14:textId="77777777" w:rsidTr="00695E82">
        <w:trPr>
          <w:trHeight w:val="624"/>
        </w:trPr>
        <w:tc>
          <w:tcPr>
            <w:tcW w:w="3020" w:type="dxa"/>
          </w:tcPr>
          <w:p w14:paraId="1975EB06" w14:textId="77777777" w:rsidR="00295E96" w:rsidRDefault="00295E96" w:rsidP="00695E82"/>
        </w:tc>
        <w:tc>
          <w:tcPr>
            <w:tcW w:w="3021" w:type="dxa"/>
          </w:tcPr>
          <w:p w14:paraId="5BC60EFC" w14:textId="77777777" w:rsidR="00295E96" w:rsidRDefault="00295E96" w:rsidP="00695E82"/>
        </w:tc>
        <w:tc>
          <w:tcPr>
            <w:tcW w:w="3021" w:type="dxa"/>
          </w:tcPr>
          <w:p w14:paraId="5839B02A" w14:textId="77777777" w:rsidR="00295E96" w:rsidRDefault="00295E96" w:rsidP="00695E82"/>
        </w:tc>
      </w:tr>
      <w:tr w:rsidR="00295E96" w14:paraId="51A35E8D" w14:textId="77777777" w:rsidTr="00695E82">
        <w:trPr>
          <w:trHeight w:val="624"/>
        </w:trPr>
        <w:tc>
          <w:tcPr>
            <w:tcW w:w="3020" w:type="dxa"/>
          </w:tcPr>
          <w:p w14:paraId="749BB34E" w14:textId="77777777" w:rsidR="00295E96" w:rsidRDefault="00295E96" w:rsidP="00695E82"/>
        </w:tc>
        <w:tc>
          <w:tcPr>
            <w:tcW w:w="3021" w:type="dxa"/>
          </w:tcPr>
          <w:p w14:paraId="143A9BD1" w14:textId="77777777" w:rsidR="00295E96" w:rsidRDefault="00295E96" w:rsidP="00695E82"/>
        </w:tc>
        <w:tc>
          <w:tcPr>
            <w:tcW w:w="3021" w:type="dxa"/>
          </w:tcPr>
          <w:p w14:paraId="27786ABB" w14:textId="77777777" w:rsidR="00295E96" w:rsidRDefault="00295E96" w:rsidP="00695E82"/>
        </w:tc>
      </w:tr>
      <w:tr w:rsidR="00295E96" w14:paraId="11C99E7C" w14:textId="77777777" w:rsidTr="00695E82">
        <w:trPr>
          <w:trHeight w:val="624"/>
        </w:trPr>
        <w:tc>
          <w:tcPr>
            <w:tcW w:w="3020" w:type="dxa"/>
          </w:tcPr>
          <w:p w14:paraId="036F202B" w14:textId="77777777" w:rsidR="00295E96" w:rsidRDefault="00295E96" w:rsidP="00695E82"/>
        </w:tc>
        <w:tc>
          <w:tcPr>
            <w:tcW w:w="3021" w:type="dxa"/>
          </w:tcPr>
          <w:p w14:paraId="5931B609" w14:textId="77777777" w:rsidR="00295E96" w:rsidRDefault="00295E96" w:rsidP="00695E82"/>
        </w:tc>
        <w:tc>
          <w:tcPr>
            <w:tcW w:w="3021" w:type="dxa"/>
          </w:tcPr>
          <w:p w14:paraId="63215BBF" w14:textId="77777777" w:rsidR="00295E96" w:rsidRDefault="00295E96" w:rsidP="00695E82"/>
        </w:tc>
      </w:tr>
    </w:tbl>
    <w:p w14:paraId="68F5B24B" w14:textId="77777777" w:rsidR="00295E96" w:rsidRPr="00295E96" w:rsidRDefault="00295E96" w:rsidP="00295E96"/>
    <w:sectPr w:rsidR="00295E96" w:rsidRPr="00295E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452B" w14:textId="77777777" w:rsidR="005D50CE" w:rsidRDefault="005D50CE" w:rsidP="00295E96">
      <w:r>
        <w:separator/>
      </w:r>
    </w:p>
  </w:endnote>
  <w:endnote w:type="continuationSeparator" w:id="0">
    <w:p w14:paraId="79FBB47F" w14:textId="77777777" w:rsidR="005D50CE" w:rsidRDefault="005D50CE" w:rsidP="0029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574E" w14:textId="77777777" w:rsidR="005D50CE" w:rsidRDefault="005D50CE" w:rsidP="00295E96">
      <w:r>
        <w:separator/>
      </w:r>
    </w:p>
  </w:footnote>
  <w:footnote w:type="continuationSeparator" w:id="0">
    <w:p w14:paraId="72342652" w14:textId="77777777" w:rsidR="005D50CE" w:rsidRDefault="005D50CE" w:rsidP="00295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86E"/>
    <w:multiLevelType w:val="hybridMultilevel"/>
    <w:tmpl w:val="9670C99E"/>
    <w:lvl w:ilvl="0" w:tplc="41C218BE">
      <w:start w:val="1"/>
      <w:numFmt w:val="bullet"/>
      <w:lvlText w:val="•"/>
      <w:lvlJc w:val="left"/>
      <w:pPr>
        <w:tabs>
          <w:tab w:val="num" w:pos="720"/>
        </w:tabs>
        <w:ind w:left="720" w:hanging="360"/>
      </w:pPr>
      <w:rPr>
        <w:rFonts w:ascii="Arial" w:hAnsi="Arial" w:hint="default"/>
      </w:rPr>
    </w:lvl>
    <w:lvl w:ilvl="1" w:tplc="BAC4959C" w:tentative="1">
      <w:start w:val="1"/>
      <w:numFmt w:val="bullet"/>
      <w:lvlText w:val="•"/>
      <w:lvlJc w:val="left"/>
      <w:pPr>
        <w:tabs>
          <w:tab w:val="num" w:pos="1440"/>
        </w:tabs>
        <w:ind w:left="1440" w:hanging="360"/>
      </w:pPr>
      <w:rPr>
        <w:rFonts w:ascii="Arial" w:hAnsi="Arial" w:hint="default"/>
      </w:rPr>
    </w:lvl>
    <w:lvl w:ilvl="2" w:tplc="2AE4D844" w:tentative="1">
      <w:start w:val="1"/>
      <w:numFmt w:val="bullet"/>
      <w:lvlText w:val="•"/>
      <w:lvlJc w:val="left"/>
      <w:pPr>
        <w:tabs>
          <w:tab w:val="num" w:pos="2160"/>
        </w:tabs>
        <w:ind w:left="2160" w:hanging="360"/>
      </w:pPr>
      <w:rPr>
        <w:rFonts w:ascii="Arial" w:hAnsi="Arial" w:hint="default"/>
      </w:rPr>
    </w:lvl>
    <w:lvl w:ilvl="3" w:tplc="51A6A2CE" w:tentative="1">
      <w:start w:val="1"/>
      <w:numFmt w:val="bullet"/>
      <w:lvlText w:val="•"/>
      <w:lvlJc w:val="left"/>
      <w:pPr>
        <w:tabs>
          <w:tab w:val="num" w:pos="2880"/>
        </w:tabs>
        <w:ind w:left="2880" w:hanging="360"/>
      </w:pPr>
      <w:rPr>
        <w:rFonts w:ascii="Arial" w:hAnsi="Arial" w:hint="default"/>
      </w:rPr>
    </w:lvl>
    <w:lvl w:ilvl="4" w:tplc="47304D92" w:tentative="1">
      <w:start w:val="1"/>
      <w:numFmt w:val="bullet"/>
      <w:lvlText w:val="•"/>
      <w:lvlJc w:val="left"/>
      <w:pPr>
        <w:tabs>
          <w:tab w:val="num" w:pos="3600"/>
        </w:tabs>
        <w:ind w:left="3600" w:hanging="360"/>
      </w:pPr>
      <w:rPr>
        <w:rFonts w:ascii="Arial" w:hAnsi="Arial" w:hint="default"/>
      </w:rPr>
    </w:lvl>
    <w:lvl w:ilvl="5" w:tplc="72D8342A" w:tentative="1">
      <w:start w:val="1"/>
      <w:numFmt w:val="bullet"/>
      <w:lvlText w:val="•"/>
      <w:lvlJc w:val="left"/>
      <w:pPr>
        <w:tabs>
          <w:tab w:val="num" w:pos="4320"/>
        </w:tabs>
        <w:ind w:left="4320" w:hanging="360"/>
      </w:pPr>
      <w:rPr>
        <w:rFonts w:ascii="Arial" w:hAnsi="Arial" w:hint="default"/>
      </w:rPr>
    </w:lvl>
    <w:lvl w:ilvl="6" w:tplc="B678BFB8" w:tentative="1">
      <w:start w:val="1"/>
      <w:numFmt w:val="bullet"/>
      <w:lvlText w:val="•"/>
      <w:lvlJc w:val="left"/>
      <w:pPr>
        <w:tabs>
          <w:tab w:val="num" w:pos="5040"/>
        </w:tabs>
        <w:ind w:left="5040" w:hanging="360"/>
      </w:pPr>
      <w:rPr>
        <w:rFonts w:ascii="Arial" w:hAnsi="Arial" w:hint="default"/>
      </w:rPr>
    </w:lvl>
    <w:lvl w:ilvl="7" w:tplc="99FCCF22" w:tentative="1">
      <w:start w:val="1"/>
      <w:numFmt w:val="bullet"/>
      <w:lvlText w:val="•"/>
      <w:lvlJc w:val="left"/>
      <w:pPr>
        <w:tabs>
          <w:tab w:val="num" w:pos="5760"/>
        </w:tabs>
        <w:ind w:left="5760" w:hanging="360"/>
      </w:pPr>
      <w:rPr>
        <w:rFonts w:ascii="Arial" w:hAnsi="Arial" w:hint="default"/>
      </w:rPr>
    </w:lvl>
    <w:lvl w:ilvl="8" w:tplc="C5F84D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847F8"/>
    <w:multiLevelType w:val="hybridMultilevel"/>
    <w:tmpl w:val="3B3A70AC"/>
    <w:lvl w:ilvl="0" w:tplc="711E089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704B6C"/>
    <w:multiLevelType w:val="hybridMultilevel"/>
    <w:tmpl w:val="842E6D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9E713C"/>
    <w:multiLevelType w:val="hybridMultilevel"/>
    <w:tmpl w:val="02BC37CA"/>
    <w:lvl w:ilvl="0" w:tplc="A0CEA6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947D16"/>
    <w:multiLevelType w:val="hybridMultilevel"/>
    <w:tmpl w:val="FE106D64"/>
    <w:lvl w:ilvl="0" w:tplc="0344C3D0">
      <w:start w:val="1"/>
      <w:numFmt w:val="bullet"/>
      <w:lvlText w:val="•"/>
      <w:lvlJc w:val="left"/>
      <w:pPr>
        <w:tabs>
          <w:tab w:val="num" w:pos="720"/>
        </w:tabs>
        <w:ind w:left="720" w:hanging="360"/>
      </w:pPr>
      <w:rPr>
        <w:rFonts w:ascii="Arial" w:hAnsi="Arial" w:hint="default"/>
      </w:rPr>
    </w:lvl>
    <w:lvl w:ilvl="1" w:tplc="B35C59A8" w:tentative="1">
      <w:start w:val="1"/>
      <w:numFmt w:val="bullet"/>
      <w:lvlText w:val="•"/>
      <w:lvlJc w:val="left"/>
      <w:pPr>
        <w:tabs>
          <w:tab w:val="num" w:pos="1440"/>
        </w:tabs>
        <w:ind w:left="1440" w:hanging="360"/>
      </w:pPr>
      <w:rPr>
        <w:rFonts w:ascii="Arial" w:hAnsi="Arial" w:hint="default"/>
      </w:rPr>
    </w:lvl>
    <w:lvl w:ilvl="2" w:tplc="073AC038" w:tentative="1">
      <w:start w:val="1"/>
      <w:numFmt w:val="bullet"/>
      <w:lvlText w:val="•"/>
      <w:lvlJc w:val="left"/>
      <w:pPr>
        <w:tabs>
          <w:tab w:val="num" w:pos="2160"/>
        </w:tabs>
        <w:ind w:left="2160" w:hanging="360"/>
      </w:pPr>
      <w:rPr>
        <w:rFonts w:ascii="Arial" w:hAnsi="Arial" w:hint="default"/>
      </w:rPr>
    </w:lvl>
    <w:lvl w:ilvl="3" w:tplc="A7947CE8" w:tentative="1">
      <w:start w:val="1"/>
      <w:numFmt w:val="bullet"/>
      <w:lvlText w:val="•"/>
      <w:lvlJc w:val="left"/>
      <w:pPr>
        <w:tabs>
          <w:tab w:val="num" w:pos="2880"/>
        </w:tabs>
        <w:ind w:left="2880" w:hanging="360"/>
      </w:pPr>
      <w:rPr>
        <w:rFonts w:ascii="Arial" w:hAnsi="Arial" w:hint="default"/>
      </w:rPr>
    </w:lvl>
    <w:lvl w:ilvl="4" w:tplc="671876AC" w:tentative="1">
      <w:start w:val="1"/>
      <w:numFmt w:val="bullet"/>
      <w:lvlText w:val="•"/>
      <w:lvlJc w:val="left"/>
      <w:pPr>
        <w:tabs>
          <w:tab w:val="num" w:pos="3600"/>
        </w:tabs>
        <w:ind w:left="3600" w:hanging="360"/>
      </w:pPr>
      <w:rPr>
        <w:rFonts w:ascii="Arial" w:hAnsi="Arial" w:hint="default"/>
      </w:rPr>
    </w:lvl>
    <w:lvl w:ilvl="5" w:tplc="15E2C87C" w:tentative="1">
      <w:start w:val="1"/>
      <w:numFmt w:val="bullet"/>
      <w:lvlText w:val="•"/>
      <w:lvlJc w:val="left"/>
      <w:pPr>
        <w:tabs>
          <w:tab w:val="num" w:pos="4320"/>
        </w:tabs>
        <w:ind w:left="4320" w:hanging="360"/>
      </w:pPr>
      <w:rPr>
        <w:rFonts w:ascii="Arial" w:hAnsi="Arial" w:hint="default"/>
      </w:rPr>
    </w:lvl>
    <w:lvl w:ilvl="6" w:tplc="D30285E2" w:tentative="1">
      <w:start w:val="1"/>
      <w:numFmt w:val="bullet"/>
      <w:lvlText w:val="•"/>
      <w:lvlJc w:val="left"/>
      <w:pPr>
        <w:tabs>
          <w:tab w:val="num" w:pos="5040"/>
        </w:tabs>
        <w:ind w:left="5040" w:hanging="360"/>
      </w:pPr>
      <w:rPr>
        <w:rFonts w:ascii="Arial" w:hAnsi="Arial" w:hint="default"/>
      </w:rPr>
    </w:lvl>
    <w:lvl w:ilvl="7" w:tplc="9B3E2F16" w:tentative="1">
      <w:start w:val="1"/>
      <w:numFmt w:val="bullet"/>
      <w:lvlText w:val="•"/>
      <w:lvlJc w:val="left"/>
      <w:pPr>
        <w:tabs>
          <w:tab w:val="num" w:pos="5760"/>
        </w:tabs>
        <w:ind w:left="5760" w:hanging="360"/>
      </w:pPr>
      <w:rPr>
        <w:rFonts w:ascii="Arial" w:hAnsi="Arial" w:hint="default"/>
      </w:rPr>
    </w:lvl>
    <w:lvl w:ilvl="8" w:tplc="C57A89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F9"/>
    <w:rsid w:val="00015BE3"/>
    <w:rsid w:val="00047925"/>
    <w:rsid w:val="00182108"/>
    <w:rsid w:val="001A5C02"/>
    <w:rsid w:val="002424BB"/>
    <w:rsid w:val="00262C6F"/>
    <w:rsid w:val="00295E96"/>
    <w:rsid w:val="003049F1"/>
    <w:rsid w:val="00381AC8"/>
    <w:rsid w:val="003D0570"/>
    <w:rsid w:val="003E4CE9"/>
    <w:rsid w:val="00506CF0"/>
    <w:rsid w:val="005128D3"/>
    <w:rsid w:val="00521E00"/>
    <w:rsid w:val="005777D3"/>
    <w:rsid w:val="005D50CE"/>
    <w:rsid w:val="005E4BCB"/>
    <w:rsid w:val="00696614"/>
    <w:rsid w:val="006A0348"/>
    <w:rsid w:val="00806021"/>
    <w:rsid w:val="00840357"/>
    <w:rsid w:val="00A20061"/>
    <w:rsid w:val="00A241E2"/>
    <w:rsid w:val="00A43A91"/>
    <w:rsid w:val="00AC1283"/>
    <w:rsid w:val="00BD5A33"/>
    <w:rsid w:val="00BE0E1F"/>
    <w:rsid w:val="00C22A49"/>
    <w:rsid w:val="00CA4B9E"/>
    <w:rsid w:val="00CB3028"/>
    <w:rsid w:val="00CE14F0"/>
    <w:rsid w:val="00D41426"/>
    <w:rsid w:val="00D476EC"/>
    <w:rsid w:val="00DA0421"/>
    <w:rsid w:val="00E01A1F"/>
    <w:rsid w:val="00E16EC1"/>
    <w:rsid w:val="00E52048"/>
    <w:rsid w:val="00FB3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3FEF"/>
  <w15:chartTrackingRefBased/>
  <w15:docId w15:val="{C32F5AF3-5D07-FB45-802B-B7FA2ED4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D3"/>
    <w:pPr>
      <w:jc w:val="both"/>
    </w:pPr>
  </w:style>
  <w:style w:type="paragraph" w:styleId="Titre1">
    <w:name w:val="heading 1"/>
    <w:basedOn w:val="Normal"/>
    <w:next w:val="Normal"/>
    <w:link w:val="Titre1Car"/>
    <w:uiPriority w:val="9"/>
    <w:qFormat/>
    <w:rsid w:val="00FB3C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B3C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128D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B3CF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3CF9"/>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FB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B3CF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B3CF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521E00"/>
    <w:pPr>
      <w:ind w:left="720"/>
      <w:contextualSpacing/>
    </w:pPr>
  </w:style>
  <w:style w:type="character" w:customStyle="1" w:styleId="Titre3Car">
    <w:name w:val="Titre 3 Car"/>
    <w:basedOn w:val="Policepardfaut"/>
    <w:link w:val="Titre3"/>
    <w:uiPriority w:val="9"/>
    <w:rsid w:val="005128D3"/>
    <w:rPr>
      <w:rFonts w:asciiTheme="majorHAnsi" w:eastAsiaTheme="majorEastAsia" w:hAnsiTheme="majorHAnsi" w:cstheme="majorBidi"/>
      <w:color w:val="1F3763" w:themeColor="accent1" w:themeShade="7F"/>
    </w:rPr>
  </w:style>
  <w:style w:type="paragraph" w:styleId="Sous-titre">
    <w:name w:val="Subtitle"/>
    <w:basedOn w:val="Normal"/>
    <w:next w:val="Normal"/>
    <w:link w:val="Sous-titreCar"/>
    <w:uiPriority w:val="11"/>
    <w:qFormat/>
    <w:rsid w:val="00A43A9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A43A9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295E96"/>
    <w:pPr>
      <w:tabs>
        <w:tab w:val="center" w:pos="4536"/>
        <w:tab w:val="right" w:pos="9072"/>
      </w:tabs>
    </w:pPr>
  </w:style>
  <w:style w:type="character" w:customStyle="1" w:styleId="En-tteCar">
    <w:name w:val="En-tête Car"/>
    <w:basedOn w:val="Policepardfaut"/>
    <w:link w:val="En-tte"/>
    <w:uiPriority w:val="99"/>
    <w:rsid w:val="00295E96"/>
  </w:style>
  <w:style w:type="paragraph" w:styleId="Pieddepage">
    <w:name w:val="footer"/>
    <w:basedOn w:val="Normal"/>
    <w:link w:val="PieddepageCar"/>
    <w:uiPriority w:val="99"/>
    <w:unhideWhenUsed/>
    <w:rsid w:val="00295E96"/>
    <w:pPr>
      <w:tabs>
        <w:tab w:val="center" w:pos="4536"/>
        <w:tab w:val="right" w:pos="9072"/>
      </w:tabs>
    </w:pPr>
  </w:style>
  <w:style w:type="character" w:customStyle="1" w:styleId="PieddepageCar">
    <w:name w:val="Pied de page Car"/>
    <w:basedOn w:val="Policepardfaut"/>
    <w:link w:val="Pieddepage"/>
    <w:uiPriority w:val="99"/>
    <w:rsid w:val="0029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1748">
      <w:bodyDiv w:val="1"/>
      <w:marLeft w:val="0"/>
      <w:marRight w:val="0"/>
      <w:marTop w:val="0"/>
      <w:marBottom w:val="0"/>
      <w:divBdr>
        <w:top w:val="none" w:sz="0" w:space="0" w:color="auto"/>
        <w:left w:val="none" w:sz="0" w:space="0" w:color="auto"/>
        <w:bottom w:val="none" w:sz="0" w:space="0" w:color="auto"/>
        <w:right w:val="none" w:sz="0" w:space="0" w:color="auto"/>
      </w:divBdr>
      <w:divsChild>
        <w:div w:id="1155026323">
          <w:marLeft w:val="274"/>
          <w:marRight w:val="0"/>
          <w:marTop w:val="165"/>
          <w:marBottom w:val="0"/>
          <w:divBdr>
            <w:top w:val="none" w:sz="0" w:space="0" w:color="auto"/>
            <w:left w:val="none" w:sz="0" w:space="0" w:color="auto"/>
            <w:bottom w:val="none" w:sz="0" w:space="0" w:color="auto"/>
            <w:right w:val="none" w:sz="0" w:space="0" w:color="auto"/>
          </w:divBdr>
        </w:div>
      </w:divsChild>
    </w:div>
    <w:div w:id="1795980386">
      <w:bodyDiv w:val="1"/>
      <w:marLeft w:val="0"/>
      <w:marRight w:val="0"/>
      <w:marTop w:val="0"/>
      <w:marBottom w:val="0"/>
      <w:divBdr>
        <w:top w:val="none" w:sz="0" w:space="0" w:color="auto"/>
        <w:left w:val="none" w:sz="0" w:space="0" w:color="auto"/>
        <w:bottom w:val="none" w:sz="0" w:space="0" w:color="auto"/>
        <w:right w:val="none" w:sz="0" w:space="0" w:color="auto"/>
      </w:divBdr>
      <w:divsChild>
        <w:div w:id="1410538394">
          <w:marLeft w:val="274"/>
          <w:marRight w:val="0"/>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1100</Words>
  <Characters>6129</Characters>
  <Application>Microsoft Office Word</Application>
  <DocSecurity>0</DocSecurity>
  <Lines>145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Gaillard</dc:creator>
  <cp:keywords/>
  <dc:description/>
  <cp:lastModifiedBy>Thibault Gaillard</cp:lastModifiedBy>
  <cp:revision>18</cp:revision>
  <dcterms:created xsi:type="dcterms:W3CDTF">2021-07-29T09:10:00Z</dcterms:created>
  <dcterms:modified xsi:type="dcterms:W3CDTF">2021-10-18T15:13:00Z</dcterms:modified>
</cp:coreProperties>
</file>