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689"/>
        <w:gridCol w:w="6373"/>
      </w:tblGrid>
      <w:tr w:rsidR="00F95136" w14:paraId="6DC5C76D" w14:textId="77777777" w:rsidTr="00DC3FC5">
        <w:tc>
          <w:tcPr>
            <w:tcW w:w="2689" w:type="dxa"/>
          </w:tcPr>
          <w:p w14:paraId="02ED443F" w14:textId="09506CB4" w:rsidR="00F95136" w:rsidRDefault="00F95136" w:rsidP="00220EE2">
            <w:r>
              <w:t>Date de création</w:t>
            </w:r>
          </w:p>
        </w:tc>
        <w:tc>
          <w:tcPr>
            <w:tcW w:w="6373" w:type="dxa"/>
          </w:tcPr>
          <w:p w14:paraId="635FD045" w14:textId="361663DB" w:rsidR="00F95136" w:rsidRDefault="00A01EEC" w:rsidP="00220EE2">
            <w:r>
              <w:t>30/08/2021</w:t>
            </w:r>
          </w:p>
        </w:tc>
      </w:tr>
      <w:tr w:rsidR="00F95136" w14:paraId="36577E35" w14:textId="77777777" w:rsidTr="00DC3FC5">
        <w:tc>
          <w:tcPr>
            <w:tcW w:w="2689" w:type="dxa"/>
          </w:tcPr>
          <w:p w14:paraId="578081B4" w14:textId="4B881866" w:rsidR="00F95136" w:rsidRDefault="00F95136" w:rsidP="00220EE2">
            <w:r>
              <w:t xml:space="preserve">Date de </w:t>
            </w:r>
            <w:r w:rsidR="00A01EEC">
              <w:t xml:space="preserve">dernière </w:t>
            </w:r>
            <w:r>
              <w:t>modification</w:t>
            </w:r>
          </w:p>
        </w:tc>
        <w:tc>
          <w:tcPr>
            <w:tcW w:w="6373" w:type="dxa"/>
          </w:tcPr>
          <w:p w14:paraId="77FCBFD0" w14:textId="55838664" w:rsidR="00F95136" w:rsidRDefault="00A01EEC" w:rsidP="00220EE2">
            <w:r>
              <w:t>30/08/2021</w:t>
            </w:r>
          </w:p>
        </w:tc>
      </w:tr>
      <w:tr w:rsidR="00F95136" w14:paraId="2CA3BC66" w14:textId="77777777" w:rsidTr="00DC3FC5">
        <w:tc>
          <w:tcPr>
            <w:tcW w:w="2689" w:type="dxa"/>
          </w:tcPr>
          <w:p w14:paraId="5591839B" w14:textId="328050F9" w:rsidR="00F95136" w:rsidRDefault="00F95136" w:rsidP="00220EE2">
            <w:r>
              <w:t>Structure porteuse du protocole</w:t>
            </w:r>
          </w:p>
        </w:tc>
        <w:tc>
          <w:tcPr>
            <w:tcW w:w="6373" w:type="dxa"/>
          </w:tcPr>
          <w:p w14:paraId="4A72AEAB" w14:textId="77777777" w:rsidR="00F95136" w:rsidRDefault="00F95136" w:rsidP="00220EE2"/>
        </w:tc>
      </w:tr>
      <w:tr w:rsidR="00F95136" w14:paraId="4A15DD10" w14:textId="77777777" w:rsidTr="00DC3FC5">
        <w:tc>
          <w:tcPr>
            <w:tcW w:w="2689" w:type="dxa"/>
          </w:tcPr>
          <w:p w14:paraId="207F6C93" w14:textId="0B18C342" w:rsidR="00F95136" w:rsidRDefault="00F95136" w:rsidP="00220EE2">
            <w:r>
              <w:t>Titre du protocole</w:t>
            </w:r>
          </w:p>
        </w:tc>
        <w:tc>
          <w:tcPr>
            <w:tcW w:w="6373" w:type="dxa"/>
          </w:tcPr>
          <w:p w14:paraId="5374FCDF" w14:textId="12632C6A" w:rsidR="00F95136" w:rsidRDefault="00DC3FC5" w:rsidP="00220EE2">
            <w:r>
              <w:t xml:space="preserve">Odynophagie chez les patients de 6 à 45 ans : protocole de coopération entre médecins généralistes, pharmaciens d’officine et infirmiers diplômés d’état </w:t>
            </w:r>
            <w:r w:rsidR="00AE63F0">
              <w:t>(IDE)</w:t>
            </w:r>
          </w:p>
        </w:tc>
      </w:tr>
      <w:tr w:rsidR="00F95136" w14:paraId="4909B0E9" w14:textId="77777777" w:rsidTr="00DC3FC5">
        <w:tc>
          <w:tcPr>
            <w:tcW w:w="2689" w:type="dxa"/>
          </w:tcPr>
          <w:p w14:paraId="43CE97CA" w14:textId="6C6B0402" w:rsidR="00F95136" w:rsidRDefault="00F95136" w:rsidP="00220EE2">
            <w:r>
              <w:t>Référent</w:t>
            </w:r>
          </w:p>
        </w:tc>
        <w:tc>
          <w:tcPr>
            <w:tcW w:w="6373" w:type="dxa"/>
          </w:tcPr>
          <w:p w14:paraId="67A1E637" w14:textId="77777777" w:rsidR="00F95136" w:rsidRDefault="00F95136" w:rsidP="00220EE2"/>
        </w:tc>
      </w:tr>
      <w:tr w:rsidR="00F95136" w14:paraId="391DE6B6" w14:textId="77777777" w:rsidTr="00DC3FC5">
        <w:tc>
          <w:tcPr>
            <w:tcW w:w="2689" w:type="dxa"/>
          </w:tcPr>
          <w:p w14:paraId="13D4A7D3" w14:textId="4076D108" w:rsidR="00F95136" w:rsidRDefault="00F95136" w:rsidP="00220EE2">
            <w:r>
              <w:t>Liste des professions ou services impliqués dans la prise en charge</w:t>
            </w:r>
          </w:p>
        </w:tc>
        <w:tc>
          <w:tcPr>
            <w:tcW w:w="6373" w:type="dxa"/>
          </w:tcPr>
          <w:p w14:paraId="60370093" w14:textId="13211CC0" w:rsidR="00F95136" w:rsidRDefault="00F95136" w:rsidP="00220EE2">
            <w:r>
              <w:t>Médecin</w:t>
            </w:r>
            <w:r w:rsidR="00ED2290">
              <w:t>s</w:t>
            </w:r>
            <w:r>
              <w:t xml:space="preserve"> généraliste</w:t>
            </w:r>
            <w:r w:rsidR="00ED2290">
              <w:t>s</w:t>
            </w:r>
            <w:r>
              <w:t>, pharmacien</w:t>
            </w:r>
            <w:r w:rsidR="00ED2290">
              <w:t>s</w:t>
            </w:r>
            <w:r>
              <w:t xml:space="preserve"> d’officine, </w:t>
            </w:r>
            <w:r w:rsidR="00AE63F0">
              <w:t>IDE</w:t>
            </w:r>
          </w:p>
        </w:tc>
      </w:tr>
      <w:tr w:rsidR="00F95136" w14:paraId="4A97F09D" w14:textId="77777777" w:rsidTr="00DC3FC5">
        <w:tc>
          <w:tcPr>
            <w:tcW w:w="2689" w:type="dxa"/>
          </w:tcPr>
          <w:p w14:paraId="4B28AFC1" w14:textId="1AA18B09" w:rsidR="00F95136" w:rsidRDefault="00F95136" w:rsidP="00220EE2">
            <w:r>
              <w:t>Objectif général</w:t>
            </w:r>
          </w:p>
        </w:tc>
        <w:tc>
          <w:tcPr>
            <w:tcW w:w="6373" w:type="dxa"/>
          </w:tcPr>
          <w:p w14:paraId="72EB5E92" w14:textId="6BE9A87C" w:rsidR="00F95136" w:rsidRDefault="00F95136" w:rsidP="00220EE2">
            <w:r>
              <w:t xml:space="preserve">Réduire le délai de prise en charge d’une odynophagie (avec diminution du </w:t>
            </w:r>
            <w:r w:rsidR="00A17256">
              <w:t>risque</w:t>
            </w:r>
            <w:r>
              <w:t xml:space="preserve"> de complications du fait de cette prise en charge précoce) dans un contexte de démographie médicale déficitaire</w:t>
            </w:r>
          </w:p>
        </w:tc>
      </w:tr>
      <w:tr w:rsidR="00F95136" w14:paraId="7B279C77" w14:textId="77777777" w:rsidTr="00DC3FC5">
        <w:tc>
          <w:tcPr>
            <w:tcW w:w="2689" w:type="dxa"/>
          </w:tcPr>
          <w:p w14:paraId="41F68E54" w14:textId="6B597B71" w:rsidR="00F95136" w:rsidRDefault="00F95136" w:rsidP="00220EE2">
            <w:r>
              <w:t>Objectifs secondaires</w:t>
            </w:r>
          </w:p>
        </w:tc>
        <w:tc>
          <w:tcPr>
            <w:tcW w:w="6373" w:type="dxa"/>
          </w:tcPr>
          <w:p w14:paraId="2F7116C5" w14:textId="77777777" w:rsidR="00F95136" w:rsidRDefault="00F95136" w:rsidP="00220EE2">
            <w:pPr>
              <w:pStyle w:val="Paragraphedeliste"/>
              <w:numPr>
                <w:ilvl w:val="0"/>
                <w:numId w:val="1"/>
              </w:numPr>
            </w:pPr>
            <w:r>
              <w:t xml:space="preserve">Diminuer le recours à la </w:t>
            </w:r>
            <w:r w:rsidR="00DC3FC5">
              <w:t>permanence</w:t>
            </w:r>
            <w:r>
              <w:t xml:space="preserve"> de</w:t>
            </w:r>
            <w:r w:rsidR="00DC3FC5">
              <w:t xml:space="preserve"> soins, notamment en horaires de garde, en s’appuyant sur la compétence d’autres professionnels de santé</w:t>
            </w:r>
          </w:p>
          <w:p w14:paraId="74578176" w14:textId="3484678A" w:rsidR="00DC3FC5" w:rsidRDefault="00DC3FC5" w:rsidP="00220EE2">
            <w:pPr>
              <w:pStyle w:val="Paragraphedeliste"/>
              <w:numPr>
                <w:ilvl w:val="0"/>
                <w:numId w:val="1"/>
              </w:numPr>
            </w:pPr>
            <w:r>
              <w:t>Permettre au</w:t>
            </w:r>
            <w:r w:rsidR="00A17256">
              <w:t>x</w:t>
            </w:r>
            <w:r>
              <w:t xml:space="preserve"> pharmaciens d’avoir une réponse adéquate à une demande fréquente</w:t>
            </w:r>
          </w:p>
          <w:p w14:paraId="07D00DF2" w14:textId="30DB1B28" w:rsidR="00DC3FC5" w:rsidRDefault="00DC3FC5" w:rsidP="00220EE2">
            <w:pPr>
              <w:pStyle w:val="Paragraphedeliste"/>
              <w:numPr>
                <w:ilvl w:val="0"/>
                <w:numId w:val="1"/>
              </w:numPr>
            </w:pPr>
            <w:r>
              <w:t xml:space="preserve">Permettre aux </w:t>
            </w:r>
            <w:r w:rsidR="00AE63F0">
              <w:t>IDE</w:t>
            </w:r>
            <w:r>
              <w:t xml:space="preserve"> de prendre rapidement en charge cette pathologie</w:t>
            </w:r>
          </w:p>
          <w:p w14:paraId="2ABEF772" w14:textId="033BCBDC" w:rsidR="00DC3FC5" w:rsidRDefault="00DC3FC5" w:rsidP="00220EE2">
            <w:pPr>
              <w:pStyle w:val="Paragraphedeliste"/>
              <w:numPr>
                <w:ilvl w:val="0"/>
                <w:numId w:val="1"/>
              </w:numPr>
            </w:pPr>
            <w:r>
              <w:t xml:space="preserve">Améliorer la sécurité de la prise en charge par un professionnel </w:t>
            </w:r>
            <w:r w:rsidR="00A17256">
              <w:t>ayant</w:t>
            </w:r>
            <w:r>
              <w:t xml:space="preserve"> accès au dossier médical du patient, en utilisant des </w:t>
            </w:r>
            <w:r w:rsidR="00A17256">
              <w:t>algorithmes</w:t>
            </w:r>
            <w:r>
              <w:t xml:space="preserve"> simples issus de référentiels validés, en améliorant la </w:t>
            </w:r>
            <w:r w:rsidR="00A17256">
              <w:t>traçabilité</w:t>
            </w:r>
            <w:r>
              <w:t xml:space="preserve"> des prises en charge grâce au système d’information partagé</w:t>
            </w:r>
          </w:p>
        </w:tc>
      </w:tr>
      <w:tr w:rsidR="00F95136" w14:paraId="3BB5714D" w14:textId="77777777" w:rsidTr="00DC3FC5">
        <w:tc>
          <w:tcPr>
            <w:tcW w:w="2689" w:type="dxa"/>
          </w:tcPr>
          <w:p w14:paraId="39AA6915" w14:textId="1F39CA45" w:rsidR="00F95136" w:rsidRDefault="00F95136" w:rsidP="00220EE2">
            <w:r>
              <w:t>Population cible</w:t>
            </w:r>
          </w:p>
        </w:tc>
        <w:tc>
          <w:tcPr>
            <w:tcW w:w="6373" w:type="dxa"/>
          </w:tcPr>
          <w:p w14:paraId="598E1B2D" w14:textId="2A656B69" w:rsidR="00F95136" w:rsidRDefault="00D0326C" w:rsidP="00220EE2">
            <w:r w:rsidRPr="00D0326C">
              <w:t>Patients entre 6 et 45 ans dont le médecin traitant est un médecin délégant et qui n’</w:t>
            </w:r>
            <w:r w:rsidR="00156E47">
              <w:t>ont</w:t>
            </w:r>
            <w:r w:rsidRPr="00D0326C">
              <w:t xml:space="preserve"> pas refusé l’accès à </w:t>
            </w:r>
            <w:r w:rsidR="00156E47">
              <w:t>leur</w:t>
            </w:r>
            <w:r w:rsidRPr="00D0326C">
              <w:t xml:space="preserve"> dossier médical au pharmacien d’officine ou à l’infirmier diplômé d’état</w:t>
            </w:r>
          </w:p>
        </w:tc>
      </w:tr>
      <w:tr w:rsidR="00F95136" w14:paraId="43240AE9" w14:textId="77777777" w:rsidTr="00DC3FC5">
        <w:tc>
          <w:tcPr>
            <w:tcW w:w="2689" w:type="dxa"/>
          </w:tcPr>
          <w:p w14:paraId="3AC87CA7" w14:textId="6A04568B" w:rsidR="00F95136" w:rsidRDefault="00F95136" w:rsidP="00220EE2">
            <w:r>
              <w:t>Évaluation</w:t>
            </w:r>
          </w:p>
        </w:tc>
        <w:tc>
          <w:tcPr>
            <w:tcW w:w="6373" w:type="dxa"/>
          </w:tcPr>
          <w:p w14:paraId="3862D8CD" w14:textId="77777777" w:rsidR="00F95136" w:rsidRDefault="00F95136" w:rsidP="00220EE2"/>
        </w:tc>
      </w:tr>
      <w:tr w:rsidR="00F95136" w14:paraId="284270C9" w14:textId="77777777" w:rsidTr="00DC3FC5">
        <w:tc>
          <w:tcPr>
            <w:tcW w:w="2689" w:type="dxa"/>
          </w:tcPr>
          <w:p w14:paraId="58C36FB3" w14:textId="671FA10D" w:rsidR="00F95136" w:rsidRDefault="00F95136" w:rsidP="00220EE2">
            <w:r>
              <w:t>Liste des documents associés</w:t>
            </w:r>
          </w:p>
        </w:tc>
        <w:tc>
          <w:tcPr>
            <w:tcW w:w="6373" w:type="dxa"/>
          </w:tcPr>
          <w:p w14:paraId="5A462A62" w14:textId="1C9BC54B" w:rsidR="00F95136" w:rsidRPr="004845F1" w:rsidRDefault="00C600E1" w:rsidP="00220EE2">
            <w:pPr>
              <w:rPr>
                <w:i/>
                <w:iCs/>
              </w:rPr>
            </w:pPr>
            <w:r>
              <w:rPr>
                <w:i/>
                <w:iCs/>
              </w:rPr>
              <w:t>« PR. 01.1 – pro</w:t>
            </w:r>
            <w:r w:rsidR="00490A69" w:rsidRPr="004845F1">
              <w:rPr>
                <w:i/>
                <w:iCs/>
              </w:rPr>
              <w:t>gramme de la formation des pharmaciens et des infirmiers diplômés d’état</w:t>
            </w:r>
            <w:r w:rsidR="004845F1">
              <w:rPr>
                <w:i/>
                <w:iCs/>
              </w:rPr>
              <w:t> »</w:t>
            </w:r>
          </w:p>
          <w:p w14:paraId="4E125FC1" w14:textId="03C1B55D" w:rsidR="00BF356A" w:rsidRDefault="00C600E1" w:rsidP="00220EE2">
            <w:pPr>
              <w:rPr>
                <w:i/>
                <w:iCs/>
              </w:rPr>
            </w:pPr>
            <w:r>
              <w:rPr>
                <w:i/>
                <w:iCs/>
              </w:rPr>
              <w:t xml:space="preserve">« PR. 01.2 – </w:t>
            </w:r>
            <w:r w:rsidR="00BF356A" w:rsidRPr="004845F1">
              <w:rPr>
                <w:i/>
                <w:iCs/>
              </w:rPr>
              <w:t>Formulaire de prise en charge patient</w:t>
            </w:r>
            <w:r w:rsidR="004845F1">
              <w:rPr>
                <w:i/>
                <w:iCs/>
              </w:rPr>
              <w:t> »</w:t>
            </w:r>
          </w:p>
          <w:p w14:paraId="67525FA8" w14:textId="77777777" w:rsidR="00C600E1" w:rsidRPr="004845F1" w:rsidRDefault="00C600E1" w:rsidP="00C600E1">
            <w:pPr>
              <w:rPr>
                <w:i/>
                <w:iCs/>
              </w:rPr>
            </w:pPr>
            <w:r>
              <w:rPr>
                <w:i/>
                <w:iCs/>
              </w:rPr>
              <w:t xml:space="preserve">« PR. 01.3 – </w:t>
            </w:r>
            <w:r w:rsidRPr="004845F1">
              <w:rPr>
                <w:i/>
                <w:iCs/>
              </w:rPr>
              <w:t>Enquête de satisfaction pharmacien/infirmier</w:t>
            </w:r>
            <w:r>
              <w:rPr>
                <w:i/>
                <w:iCs/>
              </w:rPr>
              <w:t> »</w:t>
            </w:r>
          </w:p>
          <w:p w14:paraId="58913D1B" w14:textId="5563C60E" w:rsidR="00AB4521" w:rsidRPr="004845F1" w:rsidRDefault="004845F1" w:rsidP="00220EE2">
            <w:pPr>
              <w:rPr>
                <w:i/>
                <w:iCs/>
              </w:rPr>
            </w:pPr>
            <w:r>
              <w:rPr>
                <w:i/>
                <w:iCs/>
              </w:rPr>
              <w:t>« </w:t>
            </w:r>
            <w:r w:rsidR="00C600E1">
              <w:rPr>
                <w:i/>
                <w:iCs/>
              </w:rPr>
              <w:t xml:space="preserve">PR. 01.4 – </w:t>
            </w:r>
            <w:r w:rsidR="00AB4521" w:rsidRPr="004845F1">
              <w:rPr>
                <w:i/>
                <w:iCs/>
              </w:rPr>
              <w:t>Enquête de satisfaction patient</w:t>
            </w:r>
            <w:r>
              <w:rPr>
                <w:i/>
                <w:iCs/>
              </w:rPr>
              <w:t> »</w:t>
            </w:r>
          </w:p>
          <w:p w14:paraId="5E41D7D8" w14:textId="38E23AB5" w:rsidR="00490A69" w:rsidRPr="004845F1" w:rsidRDefault="004845F1" w:rsidP="00220EE2">
            <w:pPr>
              <w:rPr>
                <w:i/>
                <w:iCs/>
              </w:rPr>
            </w:pPr>
            <w:r>
              <w:rPr>
                <w:i/>
                <w:iCs/>
              </w:rPr>
              <w:t>« </w:t>
            </w:r>
            <w:r w:rsidR="00C600E1">
              <w:rPr>
                <w:i/>
                <w:iCs/>
              </w:rPr>
              <w:t xml:space="preserve">PR. 01.5 – </w:t>
            </w:r>
            <w:r w:rsidR="00AB4521" w:rsidRPr="004845F1">
              <w:rPr>
                <w:i/>
                <w:iCs/>
              </w:rPr>
              <w:t>Enquête de satisfaction médecin</w:t>
            </w:r>
            <w:r>
              <w:rPr>
                <w:i/>
                <w:iCs/>
              </w:rPr>
              <w:t> »</w:t>
            </w:r>
          </w:p>
          <w:p w14:paraId="3AE1C417" w14:textId="2E4642E1" w:rsidR="002031C7" w:rsidRDefault="004845F1" w:rsidP="00220EE2">
            <w:pPr>
              <w:rPr>
                <w:i/>
                <w:iCs/>
              </w:rPr>
            </w:pPr>
            <w:r>
              <w:rPr>
                <w:i/>
                <w:iCs/>
              </w:rPr>
              <w:t>« </w:t>
            </w:r>
            <w:r w:rsidR="00C600E1">
              <w:rPr>
                <w:i/>
                <w:iCs/>
              </w:rPr>
              <w:t xml:space="preserve">PR. 01.6 – </w:t>
            </w:r>
            <w:r w:rsidR="002031C7" w:rsidRPr="004845F1">
              <w:rPr>
                <w:i/>
                <w:iCs/>
              </w:rPr>
              <w:t>Formulaire de reprise de la prise en charge par le médecin</w:t>
            </w:r>
            <w:r>
              <w:rPr>
                <w:i/>
                <w:iCs/>
              </w:rPr>
              <w:t> »</w:t>
            </w:r>
          </w:p>
          <w:p w14:paraId="5CA104CF" w14:textId="57406F80" w:rsidR="004845F1" w:rsidRPr="004845F1" w:rsidRDefault="004845F1" w:rsidP="00220EE2">
            <w:pPr>
              <w:rPr>
                <w:i/>
                <w:iCs/>
              </w:rPr>
            </w:pPr>
            <w:r>
              <w:rPr>
                <w:i/>
                <w:iCs/>
              </w:rPr>
              <w:t>« </w:t>
            </w:r>
            <w:r w:rsidR="00C600E1">
              <w:rPr>
                <w:i/>
                <w:iCs/>
              </w:rPr>
              <w:t xml:space="preserve">PR. 01.7 – </w:t>
            </w:r>
            <w:r>
              <w:rPr>
                <w:i/>
                <w:iCs/>
              </w:rPr>
              <w:t>Modèle de prescription type »</w:t>
            </w:r>
          </w:p>
        </w:tc>
      </w:tr>
      <w:tr w:rsidR="00F95136" w:rsidRPr="00E0291D" w14:paraId="76EF0B4A" w14:textId="77777777" w:rsidTr="00DC3FC5">
        <w:tc>
          <w:tcPr>
            <w:tcW w:w="2689" w:type="dxa"/>
          </w:tcPr>
          <w:p w14:paraId="17EDA4F7" w14:textId="410F7546" w:rsidR="00F95136" w:rsidRDefault="00F95136" w:rsidP="00220EE2">
            <w:r>
              <w:t>Liste des sources documentaires ou références</w:t>
            </w:r>
          </w:p>
        </w:tc>
        <w:tc>
          <w:tcPr>
            <w:tcW w:w="6373" w:type="dxa"/>
          </w:tcPr>
          <w:p w14:paraId="402D34E7" w14:textId="77777777" w:rsidR="00F95136" w:rsidRDefault="00E0291D" w:rsidP="00220EE2">
            <w:r w:rsidRPr="00ED36B6">
              <w:t>SPILF - SFP - GPIP. Antibiothérapie par voie générale en pratique courante dans les infections respiratoires hautes de l’adulte et de l’enfan</w:t>
            </w:r>
            <w:r>
              <w:t>t. Recommandations de bonne pratique. Novembre 2011</w:t>
            </w:r>
          </w:p>
          <w:p w14:paraId="142527F9" w14:textId="77777777" w:rsidR="00E0291D" w:rsidRDefault="00E0291D" w:rsidP="00220EE2"/>
          <w:p w14:paraId="73BE3B82" w14:textId="77777777" w:rsidR="00E0291D" w:rsidRDefault="00E0291D" w:rsidP="00220EE2">
            <w:proofErr w:type="spellStart"/>
            <w:r>
              <w:lastRenderedPageBreak/>
              <w:t>ECNPilly</w:t>
            </w:r>
            <w:proofErr w:type="spellEnd"/>
            <w:r>
              <w:t xml:space="preserve"> UE N°146 Angines de l’adulte et de l’enfant et rhinopharyngite de l’enfant. Edition 2020</w:t>
            </w:r>
          </w:p>
          <w:p w14:paraId="1AB64226" w14:textId="77777777" w:rsidR="00E0291D" w:rsidRDefault="00E0291D" w:rsidP="00220EE2"/>
          <w:p w14:paraId="6D7C92D3" w14:textId="77777777" w:rsidR="00E0291D" w:rsidRDefault="00E0291D" w:rsidP="00220EE2">
            <w:r>
              <w:t>Arrêté du 1</w:t>
            </w:r>
            <w:r w:rsidRPr="00E0291D">
              <w:rPr>
                <w:vertAlign w:val="superscript"/>
              </w:rPr>
              <w:t>er</w:t>
            </w:r>
            <w:r>
              <w:t xml:space="preserve"> août 2016 déterminant la liste des tests, recueils et traitements de signaux biologiques qui ne constituent pas un examen de biologie médicale, les catégories de personnes pouvant les réaliser et les conditions de réalisation de certains tests, recueils et traitements de signaux biologiques</w:t>
            </w:r>
          </w:p>
          <w:p w14:paraId="4A7D874A" w14:textId="3416D202" w:rsidR="00E0291D" w:rsidRDefault="00323535" w:rsidP="00220EE2">
            <w:hyperlink r:id="rId6" w:history="1">
              <w:r w:rsidR="00E0291D" w:rsidRPr="00BB6543">
                <w:rPr>
                  <w:rStyle w:val="Lienhypertexte"/>
                </w:rPr>
                <w:t>http://www.ordre.pharmacien.fr/Les-pharmaciens/Le-metier-du-pharmacien/Les-fiches-professionnelles/Toutes-les-fiches/Les-tests-rapides-d-orientation-diagnostique-TROD-et-d-evaluation-autorises-a-l-officine/(language)/fre-FR</w:t>
              </w:r>
            </w:hyperlink>
          </w:p>
          <w:p w14:paraId="4C0A044F" w14:textId="77777777" w:rsidR="00E0291D" w:rsidRDefault="00E0291D" w:rsidP="00220EE2"/>
          <w:p w14:paraId="55C23A70" w14:textId="73A81A8A" w:rsidR="00E0291D" w:rsidRDefault="00E0291D" w:rsidP="00220EE2">
            <w:pPr>
              <w:rPr>
                <w:rStyle w:val="Lienhypertexte"/>
              </w:rPr>
            </w:pPr>
            <w:r w:rsidRPr="00E0291D">
              <w:t>Unf3s ITEM 146 Campus d’ORL collège français d’ORL et de chirur</w:t>
            </w:r>
            <w:r>
              <w:t xml:space="preserve">gie </w:t>
            </w:r>
            <w:proofErr w:type="spellStart"/>
            <w:r>
              <w:t>cervoco-faciale</w:t>
            </w:r>
            <w:proofErr w:type="spellEnd"/>
            <w:r>
              <w:t xml:space="preserve"> : </w:t>
            </w:r>
            <w:hyperlink r:id="rId7" w:history="1">
              <w:r w:rsidRPr="00BB6543">
                <w:rPr>
                  <w:rStyle w:val="Lienhypertexte"/>
                </w:rPr>
                <w:t>http://campus.cerimes.fr/orl/enseignement/angine/site/html/</w:t>
              </w:r>
            </w:hyperlink>
          </w:p>
          <w:p w14:paraId="130F1ACB" w14:textId="45839E8F" w:rsidR="00755C5F" w:rsidRDefault="00755C5F" w:rsidP="00220EE2">
            <w:pPr>
              <w:rPr>
                <w:rStyle w:val="Lienhypertexte"/>
              </w:rPr>
            </w:pPr>
          </w:p>
          <w:p w14:paraId="12DE5852" w14:textId="01E51C65" w:rsidR="00E0291D" w:rsidRPr="00E0291D" w:rsidRDefault="00755C5F" w:rsidP="00220EE2">
            <w:r>
              <w:t>Arrêté du 6 mars 2020 relatif à l'autorisation du protocole de coopération « Prise en charge de l'odynophagie par l'infirmier diplômé d'</w:t>
            </w:r>
            <w:proofErr w:type="spellStart"/>
            <w:r>
              <w:t>Etat</w:t>
            </w:r>
            <w:proofErr w:type="spellEnd"/>
            <w:r>
              <w:t xml:space="preserve"> ou le pharmacien d'officine dans le cadre d'une structure pluri-professionnelle »</w:t>
            </w:r>
          </w:p>
        </w:tc>
      </w:tr>
      <w:tr w:rsidR="00F95136" w14:paraId="7925418A" w14:textId="77777777" w:rsidTr="00DC3FC5">
        <w:tc>
          <w:tcPr>
            <w:tcW w:w="2689" w:type="dxa"/>
          </w:tcPr>
          <w:p w14:paraId="4B911D5A" w14:textId="70BFF982" w:rsidR="00F95136" w:rsidRDefault="00F95136" w:rsidP="00220EE2">
            <w:r>
              <w:lastRenderedPageBreak/>
              <w:t>Lieu de consultation du protocole</w:t>
            </w:r>
          </w:p>
        </w:tc>
        <w:tc>
          <w:tcPr>
            <w:tcW w:w="6373" w:type="dxa"/>
          </w:tcPr>
          <w:p w14:paraId="191FEF1F" w14:textId="77777777" w:rsidR="00F95136" w:rsidRDefault="00F95136" w:rsidP="00220EE2"/>
        </w:tc>
      </w:tr>
      <w:tr w:rsidR="00F95136" w14:paraId="669BC92A" w14:textId="77777777" w:rsidTr="00DC3FC5">
        <w:tc>
          <w:tcPr>
            <w:tcW w:w="2689" w:type="dxa"/>
          </w:tcPr>
          <w:p w14:paraId="25503DB3" w14:textId="118E2A4F" w:rsidR="00F95136" w:rsidRDefault="00F95136" w:rsidP="00220EE2">
            <w:r>
              <w:t>Liste des professionnels adhérents au protocole</w:t>
            </w:r>
          </w:p>
        </w:tc>
        <w:tc>
          <w:tcPr>
            <w:tcW w:w="6373" w:type="dxa"/>
          </w:tcPr>
          <w:p w14:paraId="125BCB88" w14:textId="77777777" w:rsidR="00F95136" w:rsidRDefault="00F95136" w:rsidP="00220EE2"/>
        </w:tc>
      </w:tr>
      <w:tr w:rsidR="00F95136" w14:paraId="78662204" w14:textId="77777777" w:rsidTr="00DC3FC5">
        <w:tc>
          <w:tcPr>
            <w:tcW w:w="2689" w:type="dxa"/>
          </w:tcPr>
          <w:p w14:paraId="01814945" w14:textId="21FF4904" w:rsidR="00F95136" w:rsidRDefault="00F95136" w:rsidP="00220EE2">
            <w:r>
              <w:t>Liste des professionnels ou structures informés du protocole</w:t>
            </w:r>
          </w:p>
        </w:tc>
        <w:tc>
          <w:tcPr>
            <w:tcW w:w="6373" w:type="dxa"/>
          </w:tcPr>
          <w:p w14:paraId="57E49CF4" w14:textId="77777777" w:rsidR="00F95136" w:rsidRDefault="00F95136" w:rsidP="00220EE2"/>
        </w:tc>
      </w:tr>
      <w:tr w:rsidR="00F95136" w14:paraId="211D2C60" w14:textId="77777777" w:rsidTr="00DC3FC5">
        <w:tc>
          <w:tcPr>
            <w:tcW w:w="2689" w:type="dxa"/>
          </w:tcPr>
          <w:p w14:paraId="0133F5E8" w14:textId="65B35985" w:rsidR="00F95136" w:rsidRDefault="00F95136" w:rsidP="00220EE2">
            <w:r>
              <w:t>Groupe de travail</w:t>
            </w:r>
          </w:p>
        </w:tc>
        <w:tc>
          <w:tcPr>
            <w:tcW w:w="6373" w:type="dxa"/>
          </w:tcPr>
          <w:p w14:paraId="416D81E6" w14:textId="77777777" w:rsidR="00F95136" w:rsidRDefault="00F95136" w:rsidP="00220EE2"/>
        </w:tc>
      </w:tr>
      <w:tr w:rsidR="00F95136" w14:paraId="5045DF72" w14:textId="77777777" w:rsidTr="00DC3FC5">
        <w:tc>
          <w:tcPr>
            <w:tcW w:w="2689" w:type="dxa"/>
          </w:tcPr>
          <w:p w14:paraId="773C1951" w14:textId="3C519E41" w:rsidR="00F95136" w:rsidRDefault="00F95136" w:rsidP="00220EE2">
            <w:r>
              <w:t>Mode de validation du protocole</w:t>
            </w:r>
          </w:p>
        </w:tc>
        <w:tc>
          <w:tcPr>
            <w:tcW w:w="6373" w:type="dxa"/>
          </w:tcPr>
          <w:p w14:paraId="57A42C57" w14:textId="77777777" w:rsidR="00F95136" w:rsidRDefault="00F95136" w:rsidP="00220EE2"/>
        </w:tc>
      </w:tr>
      <w:tr w:rsidR="00F95136" w14:paraId="0111A8D5" w14:textId="77777777" w:rsidTr="00DC3FC5">
        <w:tc>
          <w:tcPr>
            <w:tcW w:w="2689" w:type="dxa"/>
          </w:tcPr>
          <w:p w14:paraId="2399EA17" w14:textId="257A1A92" w:rsidR="00F95136" w:rsidRDefault="00F95136" w:rsidP="00220EE2">
            <w:r>
              <w:t>Date prévue d’actualisation</w:t>
            </w:r>
          </w:p>
        </w:tc>
        <w:tc>
          <w:tcPr>
            <w:tcW w:w="6373" w:type="dxa"/>
          </w:tcPr>
          <w:p w14:paraId="62B62761" w14:textId="77777777" w:rsidR="00F95136" w:rsidRDefault="00F95136" w:rsidP="00220EE2"/>
        </w:tc>
      </w:tr>
    </w:tbl>
    <w:p w14:paraId="1089FA65" w14:textId="6235C261" w:rsidR="00D42FFE" w:rsidRDefault="00D42FFE" w:rsidP="00220EE2">
      <w:pPr>
        <w:sectPr w:rsidR="00D42FFE">
          <w:pgSz w:w="11906" w:h="16838"/>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1696"/>
        <w:gridCol w:w="6946"/>
        <w:gridCol w:w="1941"/>
        <w:gridCol w:w="3411"/>
      </w:tblGrid>
      <w:tr w:rsidR="00D42FFE" w14:paraId="5BFD24C7" w14:textId="77777777" w:rsidTr="00A02991">
        <w:tc>
          <w:tcPr>
            <w:tcW w:w="13994" w:type="dxa"/>
            <w:gridSpan w:val="4"/>
          </w:tcPr>
          <w:p w14:paraId="1A8E3111" w14:textId="46F689E7" w:rsidR="00D42FFE" w:rsidRPr="00A433AA" w:rsidRDefault="00D42FFE" w:rsidP="00A433AA">
            <w:pPr>
              <w:jc w:val="center"/>
              <w:rPr>
                <w:b/>
                <w:bCs/>
              </w:rPr>
            </w:pPr>
            <w:r w:rsidRPr="00A433AA">
              <w:rPr>
                <w:b/>
                <w:bCs/>
              </w:rPr>
              <w:lastRenderedPageBreak/>
              <w:t>Principales missions de chaque professionnel</w:t>
            </w:r>
          </w:p>
        </w:tc>
      </w:tr>
      <w:tr w:rsidR="00D42FFE" w14:paraId="26704EE8" w14:textId="281EC35A" w:rsidTr="00F10CC3">
        <w:tc>
          <w:tcPr>
            <w:tcW w:w="1696" w:type="dxa"/>
          </w:tcPr>
          <w:p w14:paraId="1B635EFD" w14:textId="114081A1" w:rsidR="00D42FFE" w:rsidRDefault="00D42FFE" w:rsidP="00A433AA">
            <w:pPr>
              <w:jc w:val="center"/>
            </w:pPr>
            <w:r>
              <w:t>Qui ?</w:t>
            </w:r>
          </w:p>
        </w:tc>
        <w:tc>
          <w:tcPr>
            <w:tcW w:w="6946" w:type="dxa"/>
          </w:tcPr>
          <w:p w14:paraId="4E3FCB67" w14:textId="36439DC1" w:rsidR="00D42FFE" w:rsidRDefault="00D42FFE" w:rsidP="00A433AA">
            <w:pPr>
              <w:jc w:val="center"/>
            </w:pPr>
            <w:r>
              <w:t>Quoi ?</w:t>
            </w:r>
          </w:p>
        </w:tc>
        <w:tc>
          <w:tcPr>
            <w:tcW w:w="1941" w:type="dxa"/>
          </w:tcPr>
          <w:p w14:paraId="006B10CE" w14:textId="72902531" w:rsidR="00D42FFE" w:rsidRDefault="00D42FFE" w:rsidP="00A433AA">
            <w:pPr>
              <w:jc w:val="center"/>
            </w:pPr>
            <w:r>
              <w:t>Où ?</w:t>
            </w:r>
          </w:p>
        </w:tc>
        <w:tc>
          <w:tcPr>
            <w:tcW w:w="3411" w:type="dxa"/>
          </w:tcPr>
          <w:p w14:paraId="3F392238" w14:textId="1BE347EC" w:rsidR="00D42FFE" w:rsidRDefault="00D42FFE" w:rsidP="00A433AA">
            <w:pPr>
              <w:jc w:val="center"/>
            </w:pPr>
            <w:r>
              <w:t>Commentaires/remarques</w:t>
            </w:r>
          </w:p>
        </w:tc>
      </w:tr>
      <w:tr w:rsidR="00ED2290" w14:paraId="161FEBBA" w14:textId="0DE2A5F9" w:rsidTr="00A433AA">
        <w:trPr>
          <w:trHeight w:val="2339"/>
        </w:trPr>
        <w:tc>
          <w:tcPr>
            <w:tcW w:w="1696" w:type="dxa"/>
            <w:vAlign w:val="center"/>
          </w:tcPr>
          <w:p w14:paraId="3D8FEA3B" w14:textId="530C4A0B" w:rsidR="00ED2290" w:rsidRDefault="00ED2290" w:rsidP="00A433AA">
            <w:pPr>
              <w:jc w:val="center"/>
            </w:pPr>
            <w:r>
              <w:t xml:space="preserve">Les </w:t>
            </w:r>
            <w:r w:rsidR="00AE63F0">
              <w:t>IDE</w:t>
            </w:r>
          </w:p>
        </w:tc>
        <w:tc>
          <w:tcPr>
            <w:tcW w:w="6946" w:type="dxa"/>
            <w:vMerge w:val="restart"/>
          </w:tcPr>
          <w:p w14:paraId="0990F36D" w14:textId="7B5C06D0" w:rsidR="00ED2290" w:rsidRDefault="00ED2290" w:rsidP="00220EE2">
            <w:pPr>
              <w:pStyle w:val="Paragraphedeliste"/>
              <w:numPr>
                <w:ilvl w:val="0"/>
                <w:numId w:val="2"/>
              </w:numPr>
            </w:pPr>
            <w:r>
              <w:t>Élimination des critères d’exclusion (</w:t>
            </w:r>
            <w:r w:rsidRPr="00B90E3C">
              <w:t>Annexe</w:t>
            </w:r>
            <w:r w:rsidR="00B90E3C">
              <w:t xml:space="preserve"> 1</w:t>
            </w:r>
            <w:r w:rsidR="0013146F">
              <w:t xml:space="preserve"> « critères d’exclusion »</w:t>
            </w:r>
            <w:r>
              <w:t>)</w:t>
            </w:r>
          </w:p>
          <w:p w14:paraId="05073261" w14:textId="77777777" w:rsidR="00ED2290" w:rsidRDefault="00ED2290" w:rsidP="00220EE2">
            <w:pPr>
              <w:pStyle w:val="Paragraphedeliste"/>
              <w:numPr>
                <w:ilvl w:val="0"/>
                <w:numId w:val="2"/>
              </w:numPr>
            </w:pPr>
            <w:r>
              <w:t>Vérification des amygdales</w:t>
            </w:r>
          </w:p>
          <w:p w14:paraId="4B1F0AD8" w14:textId="77777777" w:rsidR="00ED2290" w:rsidRDefault="00ED2290" w:rsidP="00220EE2">
            <w:pPr>
              <w:pStyle w:val="Paragraphedeliste"/>
              <w:numPr>
                <w:ilvl w:val="0"/>
                <w:numId w:val="2"/>
              </w:numPr>
            </w:pPr>
            <w:r>
              <w:t>Prise de paramètres (FC/FR/TA)</w:t>
            </w:r>
          </w:p>
          <w:p w14:paraId="048C3DC9" w14:textId="77777777" w:rsidR="00ED2290" w:rsidRDefault="00ED2290" w:rsidP="00220EE2">
            <w:pPr>
              <w:pStyle w:val="Paragraphedeliste"/>
              <w:numPr>
                <w:ilvl w:val="0"/>
                <w:numId w:val="2"/>
              </w:numPr>
            </w:pPr>
            <w:r>
              <w:t xml:space="preserve">Poser l’indication de la réalisation d’un score de Mac Isaac et son exécution </w:t>
            </w:r>
          </w:p>
          <w:p w14:paraId="1B0033A0" w14:textId="77777777" w:rsidR="00ED2290" w:rsidRDefault="00ED2290" w:rsidP="00220EE2">
            <w:pPr>
              <w:pStyle w:val="Paragraphedeliste"/>
              <w:numPr>
                <w:ilvl w:val="0"/>
                <w:numId w:val="2"/>
              </w:numPr>
            </w:pPr>
            <w:r>
              <w:t>Poser l’indication, exécuter et interpréter un TROD angine</w:t>
            </w:r>
          </w:p>
          <w:p w14:paraId="745FCA8D" w14:textId="06D57D06" w:rsidR="00ED2290" w:rsidRDefault="00ED2290" w:rsidP="00220EE2">
            <w:pPr>
              <w:pStyle w:val="Paragraphedeliste"/>
              <w:numPr>
                <w:ilvl w:val="0"/>
                <w:numId w:val="2"/>
              </w:numPr>
            </w:pPr>
            <w:r>
              <w:t>Décision de la conduite à tenir en fonction du score de Mac Isaac et du TDR</w:t>
            </w:r>
          </w:p>
          <w:p w14:paraId="0A1EF083" w14:textId="77777777" w:rsidR="00ED2290" w:rsidRDefault="00ED2290" w:rsidP="00220EE2">
            <w:pPr>
              <w:pStyle w:val="Paragraphedeliste"/>
              <w:numPr>
                <w:ilvl w:val="0"/>
                <w:numId w:val="2"/>
              </w:numPr>
            </w:pPr>
            <w:r>
              <w:t>Diagnostic de l’angine après élimination des diagnostics différentiels</w:t>
            </w:r>
          </w:p>
          <w:p w14:paraId="74E3194D" w14:textId="1B1B6506" w:rsidR="00ED2290" w:rsidRDefault="00ED2290" w:rsidP="00220EE2">
            <w:pPr>
              <w:pStyle w:val="Paragraphedeliste"/>
              <w:numPr>
                <w:ilvl w:val="0"/>
                <w:numId w:val="2"/>
              </w:numPr>
            </w:pPr>
            <w:r>
              <w:t>Élimination des critères de gravité</w:t>
            </w:r>
          </w:p>
          <w:p w14:paraId="79407ED4" w14:textId="77777777" w:rsidR="00ED2290" w:rsidRDefault="00ED2290" w:rsidP="00220EE2">
            <w:pPr>
              <w:pStyle w:val="Paragraphedeliste"/>
              <w:numPr>
                <w:ilvl w:val="0"/>
                <w:numId w:val="2"/>
              </w:numPr>
            </w:pPr>
            <w:r>
              <w:t xml:space="preserve">Prescription d’un traitement (antalgique de palier 1, antibiotique adapté le cas échéant) </w:t>
            </w:r>
          </w:p>
          <w:p w14:paraId="2036149C" w14:textId="77777777" w:rsidR="00ED2290" w:rsidRDefault="00ED2290" w:rsidP="00220EE2">
            <w:pPr>
              <w:pStyle w:val="Paragraphedeliste"/>
              <w:numPr>
                <w:ilvl w:val="0"/>
                <w:numId w:val="2"/>
              </w:numPr>
            </w:pPr>
            <w:r>
              <w:t>Prescription d’un arrêt de travail initial si nécessaire</w:t>
            </w:r>
          </w:p>
          <w:p w14:paraId="5519B781" w14:textId="1C0A26DC" w:rsidR="00293269" w:rsidRDefault="00293269" w:rsidP="00220EE2">
            <w:pPr>
              <w:pStyle w:val="Paragraphedeliste"/>
              <w:numPr>
                <w:ilvl w:val="0"/>
                <w:numId w:val="2"/>
              </w:numPr>
            </w:pPr>
            <w:r>
              <w:t>Prennent part au groupe d’analyse des pratiques qui se réunit tous les trimestres</w:t>
            </w:r>
          </w:p>
        </w:tc>
        <w:tc>
          <w:tcPr>
            <w:tcW w:w="1941" w:type="dxa"/>
            <w:vAlign w:val="center"/>
          </w:tcPr>
          <w:p w14:paraId="56A1BEC2" w14:textId="3D7AA33B" w:rsidR="00ED2290" w:rsidRDefault="00ED2290" w:rsidP="00A433AA">
            <w:pPr>
              <w:jc w:val="center"/>
            </w:pPr>
            <w:r>
              <w:t>Au cabinet infirmier</w:t>
            </w:r>
          </w:p>
        </w:tc>
        <w:tc>
          <w:tcPr>
            <w:tcW w:w="3411" w:type="dxa"/>
          </w:tcPr>
          <w:p w14:paraId="4B05FCF3" w14:textId="77777777" w:rsidR="00ED2290" w:rsidRDefault="00ED2290" w:rsidP="00220EE2"/>
        </w:tc>
      </w:tr>
      <w:tr w:rsidR="00ED2290" w14:paraId="50C3B023" w14:textId="77777777" w:rsidTr="00A433AA">
        <w:trPr>
          <w:trHeight w:val="2339"/>
        </w:trPr>
        <w:tc>
          <w:tcPr>
            <w:tcW w:w="1696" w:type="dxa"/>
            <w:vAlign w:val="center"/>
          </w:tcPr>
          <w:p w14:paraId="696501AA" w14:textId="67850136" w:rsidR="00ED2290" w:rsidRDefault="00ED2290" w:rsidP="00A433AA">
            <w:pPr>
              <w:jc w:val="center"/>
            </w:pPr>
            <w:r>
              <w:t>Les pharmaciens d’officine</w:t>
            </w:r>
          </w:p>
        </w:tc>
        <w:tc>
          <w:tcPr>
            <w:tcW w:w="6946" w:type="dxa"/>
            <w:vMerge/>
          </w:tcPr>
          <w:p w14:paraId="62FDBA09" w14:textId="77777777" w:rsidR="00ED2290" w:rsidRDefault="00ED2290" w:rsidP="00220EE2">
            <w:pPr>
              <w:pStyle w:val="Paragraphedeliste"/>
              <w:numPr>
                <w:ilvl w:val="0"/>
                <w:numId w:val="2"/>
              </w:numPr>
            </w:pPr>
          </w:p>
        </w:tc>
        <w:tc>
          <w:tcPr>
            <w:tcW w:w="1941" w:type="dxa"/>
            <w:vAlign w:val="center"/>
          </w:tcPr>
          <w:p w14:paraId="3AD6DEF6" w14:textId="0BD71B43" w:rsidR="00ED2290" w:rsidRDefault="00ED2290" w:rsidP="00A433AA">
            <w:pPr>
              <w:jc w:val="center"/>
            </w:pPr>
            <w:r>
              <w:t>A la pharmacie, dans l’espace de confidentialité</w:t>
            </w:r>
          </w:p>
        </w:tc>
        <w:tc>
          <w:tcPr>
            <w:tcW w:w="3411" w:type="dxa"/>
          </w:tcPr>
          <w:p w14:paraId="6034483A" w14:textId="77777777" w:rsidR="00ED2290" w:rsidRDefault="00ED2290" w:rsidP="00220EE2"/>
        </w:tc>
      </w:tr>
      <w:tr w:rsidR="00ED2290" w14:paraId="069A6484" w14:textId="77777777" w:rsidTr="00A433AA">
        <w:trPr>
          <w:trHeight w:val="2684"/>
        </w:trPr>
        <w:tc>
          <w:tcPr>
            <w:tcW w:w="1696" w:type="dxa"/>
            <w:vAlign w:val="center"/>
          </w:tcPr>
          <w:p w14:paraId="630808A1" w14:textId="17D1E112" w:rsidR="00ED2290" w:rsidRDefault="00ED2290" w:rsidP="00A433AA">
            <w:pPr>
              <w:jc w:val="center"/>
            </w:pPr>
            <w:r>
              <w:t>Les médecins généralistes</w:t>
            </w:r>
          </w:p>
        </w:tc>
        <w:tc>
          <w:tcPr>
            <w:tcW w:w="6946" w:type="dxa"/>
          </w:tcPr>
          <w:p w14:paraId="41291954" w14:textId="33FF343B" w:rsidR="00E67E8E" w:rsidRDefault="00185204" w:rsidP="00220EE2">
            <w:pPr>
              <w:pStyle w:val="Paragraphedeliste"/>
              <w:numPr>
                <w:ilvl w:val="0"/>
                <w:numId w:val="2"/>
              </w:numPr>
            </w:pPr>
            <w:r>
              <w:t xml:space="preserve">Restent joignables au moins par téléphone pour </w:t>
            </w:r>
            <w:r w:rsidR="00AE63F0">
              <w:t>l’IDE</w:t>
            </w:r>
            <w:r>
              <w:t xml:space="preserve"> ou le pharmacien d’officine</w:t>
            </w:r>
          </w:p>
          <w:p w14:paraId="57766355" w14:textId="5AE38330" w:rsidR="00ED2290" w:rsidRDefault="00ED2290" w:rsidP="00220EE2">
            <w:pPr>
              <w:pStyle w:val="Paragraphedeliste"/>
              <w:numPr>
                <w:ilvl w:val="0"/>
                <w:numId w:val="2"/>
              </w:numPr>
            </w:pPr>
            <w:r>
              <w:t>L’ensemble des médecins généralistes assurent la formation aux infirmiers diplômés d’état et aux pharmaciens d’officine</w:t>
            </w:r>
            <w:r w:rsidR="00E67E8E">
              <w:t xml:space="preserve"> (</w:t>
            </w:r>
            <w:proofErr w:type="spellStart"/>
            <w:r w:rsidR="00E67E8E">
              <w:t>Cf</w:t>
            </w:r>
            <w:proofErr w:type="spellEnd"/>
            <w:r w:rsidR="00E67E8E">
              <w:t xml:space="preserve"> document associé « </w:t>
            </w:r>
            <w:r w:rsidR="00C600E1" w:rsidRPr="00C600E1">
              <w:rPr>
                <w:i/>
                <w:iCs/>
              </w:rPr>
              <w:t>PR. 01.1 –</w:t>
            </w:r>
            <w:r w:rsidR="00C600E1">
              <w:t xml:space="preserve"> </w:t>
            </w:r>
            <w:r w:rsidR="00E67E8E" w:rsidRPr="00E67E8E">
              <w:rPr>
                <w:i/>
                <w:iCs/>
              </w:rPr>
              <w:t>Programme de la formation des pharmaciens et des infirmiers diplômés d’état</w:t>
            </w:r>
            <w:r w:rsidR="00E67E8E">
              <w:t> »)</w:t>
            </w:r>
          </w:p>
          <w:p w14:paraId="02E3790C" w14:textId="75153539" w:rsidR="00185204" w:rsidRDefault="00185204" w:rsidP="00220EE2">
            <w:pPr>
              <w:pStyle w:val="Paragraphedeliste"/>
              <w:numPr>
                <w:ilvl w:val="0"/>
                <w:numId w:val="2"/>
              </w:numPr>
            </w:pPr>
            <w:r>
              <w:t>Reçoivent les patients en consultation en cas d’absence des pharmaciens d’officine et des infirmiers diplômés d’état</w:t>
            </w:r>
          </w:p>
          <w:p w14:paraId="2040E234" w14:textId="7F134F1D" w:rsidR="00185204" w:rsidRDefault="00185204" w:rsidP="00220EE2">
            <w:pPr>
              <w:pStyle w:val="Paragraphedeliste"/>
              <w:numPr>
                <w:ilvl w:val="0"/>
                <w:numId w:val="2"/>
              </w:numPr>
            </w:pPr>
            <w:r>
              <w:t xml:space="preserve">Reçoivent les patients en consultation dans les 24h </w:t>
            </w:r>
            <w:r w:rsidR="00B0274F">
              <w:t xml:space="preserve">s’ils présentent </w:t>
            </w:r>
            <w:r>
              <w:t>des critères d’exclusion</w:t>
            </w:r>
            <w:r w:rsidR="002031C7">
              <w:t xml:space="preserve"> (Cf. document associé </w:t>
            </w:r>
            <w:r w:rsidR="002031C7">
              <w:rPr>
                <w:i/>
                <w:iCs/>
              </w:rPr>
              <w:lastRenderedPageBreak/>
              <w:t>« </w:t>
            </w:r>
            <w:r w:rsidR="00C600E1">
              <w:rPr>
                <w:i/>
                <w:iCs/>
              </w:rPr>
              <w:t xml:space="preserve">PR. 01.6 – </w:t>
            </w:r>
            <w:r w:rsidR="002031C7">
              <w:rPr>
                <w:i/>
                <w:iCs/>
              </w:rPr>
              <w:t>Formulaire de reprise de la prise en charge par le médecin »</w:t>
            </w:r>
            <w:r w:rsidR="002031C7">
              <w:t>)</w:t>
            </w:r>
          </w:p>
          <w:p w14:paraId="4EEF9C93" w14:textId="7DC28F3B" w:rsidR="00185204" w:rsidRDefault="00185204" w:rsidP="00220EE2">
            <w:pPr>
              <w:pStyle w:val="Paragraphedeliste"/>
              <w:numPr>
                <w:ilvl w:val="0"/>
                <w:numId w:val="2"/>
              </w:numPr>
            </w:pPr>
            <w:r>
              <w:t>Reçoivent les patients en consultation s’ils présentent de nouveaux symptômes à la suite de leur prise en charge par l’infirmier diplômé d’état ou par le pharmacien d’officine ou si un critère d’exclusion apparait secondairement</w:t>
            </w:r>
            <w:r w:rsidR="002031C7">
              <w:t xml:space="preserve"> (Cf. document associé </w:t>
            </w:r>
            <w:r w:rsidR="002031C7">
              <w:rPr>
                <w:i/>
                <w:iCs/>
              </w:rPr>
              <w:t>« </w:t>
            </w:r>
            <w:r w:rsidR="00C600E1">
              <w:rPr>
                <w:i/>
                <w:iCs/>
              </w:rPr>
              <w:t xml:space="preserve">PR. 01.6 – </w:t>
            </w:r>
            <w:r w:rsidR="002031C7">
              <w:rPr>
                <w:i/>
                <w:iCs/>
              </w:rPr>
              <w:t>Formulaire de reprise de la prise en charge par le médecin »</w:t>
            </w:r>
            <w:r w:rsidR="002031C7">
              <w:t>)</w:t>
            </w:r>
          </w:p>
          <w:p w14:paraId="00B009AF" w14:textId="4076B255" w:rsidR="00B0274F" w:rsidRDefault="00B0274F" w:rsidP="00220EE2">
            <w:pPr>
              <w:pStyle w:val="Paragraphedeliste"/>
              <w:numPr>
                <w:ilvl w:val="0"/>
                <w:numId w:val="2"/>
              </w:numPr>
            </w:pPr>
            <w:r>
              <w:t>En cas d’absence (&lt; 2 mois), ils désignent un confrère qui sera joignable et susceptible de recevoir les patients dans les mêmes conditions</w:t>
            </w:r>
          </w:p>
          <w:p w14:paraId="464004CB" w14:textId="1D994782" w:rsidR="00293269" w:rsidRDefault="00293269" w:rsidP="00220EE2">
            <w:pPr>
              <w:pStyle w:val="Paragraphedeliste"/>
              <w:numPr>
                <w:ilvl w:val="0"/>
                <w:numId w:val="2"/>
              </w:numPr>
            </w:pPr>
            <w:r>
              <w:t>Prennent part au groupe d’analyse des pratiques qui se réunit tous les trimestres</w:t>
            </w:r>
          </w:p>
        </w:tc>
        <w:tc>
          <w:tcPr>
            <w:tcW w:w="1941" w:type="dxa"/>
            <w:vAlign w:val="center"/>
          </w:tcPr>
          <w:p w14:paraId="2104C6B3" w14:textId="374A3846" w:rsidR="00ED2290" w:rsidRDefault="00185204" w:rsidP="00A433AA">
            <w:pPr>
              <w:jc w:val="center"/>
            </w:pPr>
            <w:r>
              <w:lastRenderedPageBreak/>
              <w:t>Au cabinet médical</w:t>
            </w:r>
          </w:p>
        </w:tc>
        <w:tc>
          <w:tcPr>
            <w:tcW w:w="3411" w:type="dxa"/>
          </w:tcPr>
          <w:p w14:paraId="4F478A88" w14:textId="77777777" w:rsidR="00ED2290" w:rsidRDefault="00ED2290" w:rsidP="00220EE2"/>
        </w:tc>
      </w:tr>
    </w:tbl>
    <w:p w14:paraId="25E71C46" w14:textId="56B20E4D" w:rsidR="00B0274F" w:rsidRDefault="00B0274F" w:rsidP="00220EE2">
      <w:pPr>
        <w:sectPr w:rsidR="00B0274F" w:rsidSect="00D42FFE">
          <w:pgSz w:w="16838" w:h="11906" w:orient="landscape"/>
          <w:pgMar w:top="1417" w:right="1417" w:bottom="1417" w:left="1417" w:header="708" w:footer="708" w:gutter="0"/>
          <w:cols w:space="708"/>
          <w:docGrid w:linePitch="360"/>
        </w:sectPr>
      </w:pPr>
    </w:p>
    <w:p w14:paraId="373B7EAE" w14:textId="013E66BB" w:rsidR="007E236A" w:rsidRDefault="00284886" w:rsidP="00220EE2">
      <w:pPr>
        <w:pStyle w:val="Titre"/>
      </w:pPr>
      <w:r>
        <w:lastRenderedPageBreak/>
        <w:t>Processus de prise en charge du patient</w:t>
      </w:r>
    </w:p>
    <w:p w14:paraId="5C7A3B9E" w14:textId="55151945" w:rsidR="007E236A" w:rsidRDefault="002B5BA1" w:rsidP="00220EE2">
      <w:r>
        <w:rPr>
          <w:noProof/>
        </w:rPr>
        <w:t>L’IDE</w:t>
      </w:r>
      <w:r w:rsidR="007E236A">
        <w:t xml:space="preserve"> et le pharmacien d’officine suivent l’arbre décisionnel suivant dans le processus de prise en charge du patient</w:t>
      </w:r>
    </w:p>
    <w:p w14:paraId="25773C3E" w14:textId="77777777" w:rsidR="00B6133D" w:rsidRDefault="00B6133D" w:rsidP="00220EE2"/>
    <w:p w14:paraId="6621567C" w14:textId="0DE0A371" w:rsidR="00424705" w:rsidRDefault="00170A91" w:rsidP="00170A91">
      <w:r w:rsidRPr="00170A91">
        <w:rPr>
          <w:noProof/>
        </w:rPr>
        <w:drawing>
          <wp:inline distT="0" distB="0" distL="0" distR="0" wp14:anchorId="7DEAE044" wp14:editId="5B80EE1F">
            <wp:extent cx="5760720" cy="6877685"/>
            <wp:effectExtent l="0" t="0" r="508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877685"/>
                    </a:xfrm>
                    <a:prstGeom prst="rect">
                      <a:avLst/>
                    </a:prstGeom>
                  </pic:spPr>
                </pic:pic>
              </a:graphicData>
            </a:graphic>
          </wp:inline>
        </w:drawing>
      </w:r>
    </w:p>
    <w:p w14:paraId="1CD2676D" w14:textId="75965C14" w:rsidR="00477800" w:rsidRDefault="00477800" w:rsidP="00220EE2">
      <w:r>
        <w:br w:type="page"/>
      </w:r>
    </w:p>
    <w:p w14:paraId="3694DDB8" w14:textId="748B3C81" w:rsidR="00E67E8E" w:rsidRDefault="00AE63F0" w:rsidP="00220EE2">
      <w:r>
        <w:lastRenderedPageBreak/>
        <w:t>L’IDE</w:t>
      </w:r>
      <w:r w:rsidR="00E67E8E">
        <w:t xml:space="preserve"> </w:t>
      </w:r>
      <w:r w:rsidR="00477800">
        <w:t>ou</w:t>
      </w:r>
      <w:r w:rsidR="00E67E8E">
        <w:t xml:space="preserve"> le pharmacien d’officine </w:t>
      </w:r>
      <w:r w:rsidR="00477800">
        <w:t>remplit</w:t>
      </w:r>
      <w:r w:rsidR="00E67E8E">
        <w:t xml:space="preserve"> le formulaire de prise en charge</w:t>
      </w:r>
      <w:r w:rsidR="0017009D" w:rsidRPr="0017009D">
        <w:t xml:space="preserve"> </w:t>
      </w:r>
      <w:r w:rsidR="0017009D">
        <w:t>du patient</w:t>
      </w:r>
      <w:r w:rsidR="00E67E8E">
        <w:t xml:space="preserve"> (Cf document associé « </w:t>
      </w:r>
      <w:r w:rsidR="00C600E1">
        <w:rPr>
          <w:i/>
          <w:iCs/>
        </w:rPr>
        <w:t xml:space="preserve">PR. 01.2 – </w:t>
      </w:r>
      <w:r w:rsidR="00E67E8E" w:rsidRPr="00E67E8E">
        <w:rPr>
          <w:i/>
          <w:iCs/>
        </w:rPr>
        <w:t>Formulaire de prise en charge patient </w:t>
      </w:r>
      <w:r w:rsidR="00E67E8E">
        <w:t xml:space="preserve">») </w:t>
      </w:r>
      <w:r w:rsidR="0017009D">
        <w:t xml:space="preserve">en suivant l’arbre décisionnel ci-dessus. Ce formulaire de prise en charge </w:t>
      </w:r>
      <w:r w:rsidR="00E67E8E">
        <w:t xml:space="preserve">récapitule : </w:t>
      </w:r>
    </w:p>
    <w:p w14:paraId="18A29BE0" w14:textId="02CE2692" w:rsidR="00E67E8E" w:rsidRDefault="00E67E8E" w:rsidP="00220EE2">
      <w:pPr>
        <w:pStyle w:val="Paragraphedeliste"/>
        <w:numPr>
          <w:ilvl w:val="0"/>
          <w:numId w:val="3"/>
        </w:numPr>
      </w:pPr>
      <w:r>
        <w:t>Un rappel de l’arbre décisionnel ci-dessus</w:t>
      </w:r>
    </w:p>
    <w:p w14:paraId="39AA5627" w14:textId="3EE6D8B6" w:rsidR="00E67E8E" w:rsidRDefault="00E67E8E" w:rsidP="00220EE2">
      <w:pPr>
        <w:pStyle w:val="Paragraphedeliste"/>
        <w:numPr>
          <w:ilvl w:val="0"/>
          <w:numId w:val="3"/>
        </w:numPr>
      </w:pPr>
      <w:r>
        <w:t>Les données à compléter sur le patient et sur le professionnel qui a réalisé la prise en charge</w:t>
      </w:r>
    </w:p>
    <w:p w14:paraId="3490041C" w14:textId="3172B550" w:rsidR="00E67E8E" w:rsidRDefault="00E67E8E" w:rsidP="00220EE2">
      <w:pPr>
        <w:pStyle w:val="Paragraphedeliste"/>
        <w:numPr>
          <w:ilvl w:val="0"/>
          <w:numId w:val="3"/>
        </w:numPr>
      </w:pPr>
      <w:r>
        <w:t>Les critères d’exclusion à vérifier lors de l’anamnèse</w:t>
      </w:r>
    </w:p>
    <w:p w14:paraId="5F470091" w14:textId="77777777" w:rsidR="00E67E8E" w:rsidRDefault="00E67E8E" w:rsidP="00220EE2">
      <w:pPr>
        <w:pStyle w:val="Paragraphedeliste"/>
        <w:numPr>
          <w:ilvl w:val="0"/>
          <w:numId w:val="3"/>
        </w:numPr>
      </w:pPr>
      <w:r>
        <w:t>Les critères d’exclusion à vérifier lors de l’examen clinique</w:t>
      </w:r>
    </w:p>
    <w:p w14:paraId="70641AA1" w14:textId="77777777" w:rsidR="00E67E8E" w:rsidRDefault="00E67E8E" w:rsidP="00220EE2">
      <w:pPr>
        <w:pStyle w:val="Paragraphedeliste"/>
        <w:numPr>
          <w:ilvl w:val="0"/>
          <w:numId w:val="3"/>
        </w:numPr>
      </w:pPr>
      <w:r>
        <w:t xml:space="preserve">Le score de Mac Isaac </w:t>
      </w:r>
    </w:p>
    <w:p w14:paraId="01B055B8" w14:textId="77777777" w:rsidR="00E67E8E" w:rsidRDefault="00E67E8E" w:rsidP="00220EE2">
      <w:pPr>
        <w:pStyle w:val="Paragraphedeliste"/>
        <w:numPr>
          <w:ilvl w:val="0"/>
          <w:numId w:val="3"/>
        </w:numPr>
      </w:pPr>
      <w:r>
        <w:t>Le résultat du TDR angine</w:t>
      </w:r>
    </w:p>
    <w:p w14:paraId="12232055" w14:textId="02F225AE" w:rsidR="00E67E8E" w:rsidRDefault="00E67E8E" w:rsidP="00220EE2">
      <w:pPr>
        <w:pStyle w:val="Paragraphedeliste"/>
        <w:numPr>
          <w:ilvl w:val="0"/>
          <w:numId w:val="3"/>
        </w:numPr>
      </w:pPr>
      <w:r>
        <w:t>Les prescriptions types élaborées lors de la formation avec les médecins généralistes</w:t>
      </w:r>
      <w:r w:rsidR="004845F1">
        <w:t xml:space="preserve"> (Cf. document associé </w:t>
      </w:r>
      <w:r w:rsidR="004845F1">
        <w:rPr>
          <w:i/>
          <w:iCs/>
        </w:rPr>
        <w:t>« </w:t>
      </w:r>
      <w:r w:rsidR="00C600E1">
        <w:rPr>
          <w:i/>
          <w:iCs/>
        </w:rPr>
        <w:t xml:space="preserve">PR. 01.7 – </w:t>
      </w:r>
      <w:r w:rsidR="004845F1">
        <w:rPr>
          <w:i/>
          <w:iCs/>
        </w:rPr>
        <w:t>Modèle de prescription type »</w:t>
      </w:r>
      <w:r w:rsidR="004845F1">
        <w:t>)</w:t>
      </w:r>
    </w:p>
    <w:p w14:paraId="2C6F664A" w14:textId="77777777" w:rsidR="005F40EB" w:rsidRDefault="005F40EB" w:rsidP="00220EE2"/>
    <w:p w14:paraId="11F3A124" w14:textId="112DFDD4" w:rsidR="00D03EDC" w:rsidRDefault="00E67E8E" w:rsidP="00220EE2">
      <w:r w:rsidRPr="0013146F">
        <w:rPr>
          <w:b/>
          <w:bCs/>
          <w:u w:val="single"/>
        </w:rPr>
        <w:t>Remarque</w:t>
      </w:r>
      <w:r>
        <w:t> : Le formulaire ainsi que les prescriptions types sont à inclure dans le système d’information partagé.</w:t>
      </w:r>
      <w:r w:rsidR="00BF356A">
        <w:t xml:space="preserve"> Le formulaire complété ainsi que les prescriptions et les certificats éventuels sont à intégrer dans le dossier patient partagé</w:t>
      </w:r>
    </w:p>
    <w:p w14:paraId="38DE97CF" w14:textId="77777777" w:rsidR="005F40EB" w:rsidRDefault="005F40EB" w:rsidP="00220EE2"/>
    <w:p w14:paraId="22B63D69" w14:textId="77777777" w:rsidR="005B0799" w:rsidRDefault="00D03EDC" w:rsidP="00220EE2">
      <w:r>
        <w:t>A la fin de la prise en charge</w:t>
      </w:r>
      <w:r w:rsidR="005B0799">
        <w:t xml:space="preserve"> : </w:t>
      </w:r>
    </w:p>
    <w:p w14:paraId="53508F18" w14:textId="35DCA810" w:rsidR="00C600E1" w:rsidRDefault="00C600E1" w:rsidP="00C600E1">
      <w:pPr>
        <w:pStyle w:val="Paragraphedeliste"/>
        <w:numPr>
          <w:ilvl w:val="0"/>
          <w:numId w:val="2"/>
        </w:numPr>
      </w:pPr>
      <w:r>
        <w:t>Le pharmacien d’officine ou l’IDE remplit l’enquête le concernant (Cf. document associé « </w:t>
      </w:r>
      <w:r>
        <w:rPr>
          <w:i/>
          <w:iCs/>
        </w:rPr>
        <w:t>PR. 01.3 – E</w:t>
      </w:r>
      <w:r w:rsidRPr="005B0799">
        <w:rPr>
          <w:i/>
          <w:iCs/>
        </w:rPr>
        <w:t>nquête de satisfaction pharmacien / infirmier</w:t>
      </w:r>
      <w:r>
        <w:t> »)</w:t>
      </w:r>
    </w:p>
    <w:p w14:paraId="707322AA" w14:textId="27D9A19F" w:rsidR="005B0799" w:rsidRDefault="005B0799" w:rsidP="00220EE2">
      <w:pPr>
        <w:pStyle w:val="Paragraphedeliste"/>
        <w:numPr>
          <w:ilvl w:val="0"/>
          <w:numId w:val="2"/>
        </w:numPr>
      </w:pPr>
      <w:r>
        <w:t>L</w:t>
      </w:r>
      <w:r w:rsidR="00D03EDC">
        <w:t xml:space="preserve">e pharmacien d’officine ou </w:t>
      </w:r>
      <w:r w:rsidR="00220EE2">
        <w:t>l’IDE</w:t>
      </w:r>
      <w:r w:rsidR="00D03EDC">
        <w:t xml:space="preserve"> fait remplir au patient une enquêt</w:t>
      </w:r>
      <w:r w:rsidR="004E47A0">
        <w:t xml:space="preserve">e de satisfaction </w:t>
      </w:r>
      <w:r w:rsidR="00B912F0">
        <w:t xml:space="preserve">le concernant </w:t>
      </w:r>
      <w:r w:rsidR="004E47A0">
        <w:t>(Cf document associé « </w:t>
      </w:r>
      <w:r w:rsidR="00C600E1">
        <w:rPr>
          <w:i/>
          <w:iCs/>
        </w:rPr>
        <w:t>PR. 01.4 – E</w:t>
      </w:r>
      <w:r w:rsidR="004E47A0" w:rsidRPr="005B0799">
        <w:rPr>
          <w:i/>
          <w:iCs/>
        </w:rPr>
        <w:t>nquête de satisfaction patient </w:t>
      </w:r>
      <w:r w:rsidR="004E47A0">
        <w:t>»)</w:t>
      </w:r>
    </w:p>
    <w:p w14:paraId="4CAEB7DE" w14:textId="1382C56A" w:rsidR="005B0799" w:rsidRDefault="00141860" w:rsidP="00220EE2">
      <w:pPr>
        <w:pStyle w:val="Paragraphedeliste"/>
        <w:numPr>
          <w:ilvl w:val="0"/>
          <w:numId w:val="2"/>
        </w:numPr>
      </w:pPr>
      <w:r>
        <w:t xml:space="preserve">Le pharmacien d’officine ou </w:t>
      </w:r>
      <w:r w:rsidR="00220EE2">
        <w:t>l’IDE</w:t>
      </w:r>
      <w:r>
        <w:t xml:space="preserve"> intègre les réponses à ces enquêtes dans le dossier du patient. </w:t>
      </w:r>
    </w:p>
    <w:p w14:paraId="47A6F9AB" w14:textId="77777777" w:rsidR="005B0799" w:rsidRDefault="005B0799" w:rsidP="00220EE2"/>
    <w:p w14:paraId="4D76BA82" w14:textId="53FAFD5A" w:rsidR="004845F1" w:rsidRDefault="00141860" w:rsidP="00220EE2">
      <w:r>
        <w:t>Le médecin répondra également à une enquête de satisfaction (Cf. document associé « </w:t>
      </w:r>
      <w:r w:rsidR="00C600E1">
        <w:rPr>
          <w:i/>
          <w:iCs/>
        </w:rPr>
        <w:t>PR. 01.4 – e</w:t>
      </w:r>
      <w:r w:rsidRPr="005B0799">
        <w:rPr>
          <w:i/>
          <w:iCs/>
        </w:rPr>
        <w:t>nquête de satisfaction médecin</w:t>
      </w:r>
      <w:r>
        <w:t xml:space="preserve"> ») lorsqu’il aura connaissance de la prise en charge du patient dans le cadre de ce protocole.</w:t>
      </w:r>
    </w:p>
    <w:p w14:paraId="02B40051" w14:textId="77777777" w:rsidR="004845F1" w:rsidRDefault="004845F1" w:rsidP="00220EE2"/>
    <w:p w14:paraId="0A465678" w14:textId="1CA4F7BA" w:rsidR="004845F1" w:rsidRPr="004845F1" w:rsidRDefault="004845F1" w:rsidP="004845F1">
      <w:r>
        <w:t xml:space="preserve">Lorsqu’une reprise de la prise en charge du patient par le médecin est nécessaire, le médecin utilisera le formulaire de reprise de la prise en charge (Cf. document associé </w:t>
      </w:r>
      <w:r>
        <w:rPr>
          <w:i/>
          <w:iCs/>
        </w:rPr>
        <w:t>« </w:t>
      </w:r>
      <w:r w:rsidR="00C600E1">
        <w:rPr>
          <w:i/>
          <w:iCs/>
        </w:rPr>
        <w:t xml:space="preserve">PR. 01.6 – </w:t>
      </w:r>
      <w:r w:rsidRPr="004845F1">
        <w:rPr>
          <w:i/>
          <w:iCs/>
        </w:rPr>
        <w:t>Formulaire de reprise de la prise en charge par le médecin</w:t>
      </w:r>
      <w:r>
        <w:rPr>
          <w:i/>
          <w:iCs/>
        </w:rPr>
        <w:t> »</w:t>
      </w:r>
      <w:r>
        <w:t>)</w:t>
      </w:r>
    </w:p>
    <w:p w14:paraId="1138E63A" w14:textId="476FFEFA" w:rsidR="007E236A" w:rsidRPr="00E67E8E" w:rsidRDefault="007E236A" w:rsidP="00220EE2">
      <w:r>
        <w:br w:type="page"/>
      </w:r>
    </w:p>
    <w:p w14:paraId="62F09312" w14:textId="307CA156" w:rsidR="00284886" w:rsidRPr="00284886" w:rsidRDefault="00284886" w:rsidP="00220EE2">
      <w:pPr>
        <w:sectPr w:rsidR="00284886" w:rsidRPr="00284886" w:rsidSect="00B0274F">
          <w:pgSz w:w="11906" w:h="16838"/>
          <w:pgMar w:top="1417" w:right="1417" w:bottom="1417" w:left="1417" w:header="708" w:footer="708" w:gutter="0"/>
          <w:cols w:space="708"/>
          <w:docGrid w:linePitch="360"/>
        </w:sectPr>
      </w:pPr>
    </w:p>
    <w:p w14:paraId="52F2FB37" w14:textId="08CFA027" w:rsidR="00284886" w:rsidRDefault="00C64978" w:rsidP="00220EE2">
      <w:pPr>
        <w:pStyle w:val="Titre"/>
      </w:pPr>
      <w:r>
        <w:lastRenderedPageBreak/>
        <w:t xml:space="preserve">Analyse des risques inhérents au processus de prise en charge </w:t>
      </w:r>
      <w:r w:rsidR="00BF356A">
        <w:t>du</w:t>
      </w:r>
      <w:r>
        <w:t xml:space="preserve"> patient</w:t>
      </w:r>
    </w:p>
    <w:tbl>
      <w:tblPr>
        <w:tblStyle w:val="Grilledutableau"/>
        <w:tblW w:w="0" w:type="auto"/>
        <w:tblLook w:val="04A0" w:firstRow="1" w:lastRow="0" w:firstColumn="1" w:lastColumn="0" w:noHBand="0" w:noVBand="1"/>
      </w:tblPr>
      <w:tblGrid>
        <w:gridCol w:w="3498"/>
        <w:gridCol w:w="3498"/>
        <w:gridCol w:w="3499"/>
        <w:gridCol w:w="3499"/>
      </w:tblGrid>
      <w:tr w:rsidR="00C64978" w14:paraId="77BFEB60" w14:textId="77777777" w:rsidTr="00852DF3">
        <w:tc>
          <w:tcPr>
            <w:tcW w:w="3498" w:type="dxa"/>
            <w:vAlign w:val="center"/>
          </w:tcPr>
          <w:p w14:paraId="48933C7B" w14:textId="7C64AC9A" w:rsidR="00C64978" w:rsidRPr="00852DF3" w:rsidRDefault="00C64978" w:rsidP="00852DF3">
            <w:pPr>
              <w:jc w:val="center"/>
              <w:rPr>
                <w:b/>
                <w:bCs/>
              </w:rPr>
            </w:pPr>
            <w:r w:rsidRPr="00852DF3">
              <w:rPr>
                <w:b/>
                <w:bCs/>
              </w:rPr>
              <w:t>Grandes étapes de la prise en charge</w:t>
            </w:r>
          </w:p>
        </w:tc>
        <w:tc>
          <w:tcPr>
            <w:tcW w:w="3498" w:type="dxa"/>
            <w:vAlign w:val="center"/>
          </w:tcPr>
          <w:p w14:paraId="538423BB" w14:textId="00B2124E" w:rsidR="00C64978" w:rsidRPr="00852DF3" w:rsidRDefault="00C64978" w:rsidP="00852DF3">
            <w:pPr>
              <w:jc w:val="center"/>
              <w:rPr>
                <w:b/>
                <w:bCs/>
              </w:rPr>
            </w:pPr>
            <w:r w:rsidRPr="00852DF3">
              <w:rPr>
                <w:b/>
                <w:bCs/>
              </w:rPr>
              <w:t>Risques</w:t>
            </w:r>
          </w:p>
        </w:tc>
        <w:tc>
          <w:tcPr>
            <w:tcW w:w="3499" w:type="dxa"/>
            <w:vAlign w:val="center"/>
          </w:tcPr>
          <w:p w14:paraId="0F5BB01A" w14:textId="264A649E" w:rsidR="00C64978" w:rsidRPr="00852DF3" w:rsidRDefault="00C64978" w:rsidP="00852DF3">
            <w:pPr>
              <w:jc w:val="center"/>
              <w:rPr>
                <w:b/>
                <w:bCs/>
              </w:rPr>
            </w:pPr>
            <w:r w:rsidRPr="00852DF3">
              <w:rPr>
                <w:b/>
                <w:bCs/>
              </w:rPr>
              <w:t>Causes associées</w:t>
            </w:r>
          </w:p>
        </w:tc>
        <w:tc>
          <w:tcPr>
            <w:tcW w:w="3499" w:type="dxa"/>
            <w:vAlign w:val="center"/>
          </w:tcPr>
          <w:p w14:paraId="4B7F8FE4" w14:textId="2542966B" w:rsidR="00C64978" w:rsidRPr="00852DF3" w:rsidRDefault="00C64978" w:rsidP="00852DF3">
            <w:pPr>
              <w:jc w:val="center"/>
              <w:rPr>
                <w:b/>
                <w:bCs/>
              </w:rPr>
            </w:pPr>
            <w:r w:rsidRPr="00852DF3">
              <w:rPr>
                <w:b/>
                <w:bCs/>
              </w:rPr>
              <w:t>Solutions</w:t>
            </w:r>
          </w:p>
        </w:tc>
      </w:tr>
      <w:tr w:rsidR="00C64978" w14:paraId="1DF2C6E3" w14:textId="77777777" w:rsidTr="00220EE2">
        <w:tc>
          <w:tcPr>
            <w:tcW w:w="3498" w:type="dxa"/>
            <w:vAlign w:val="center"/>
          </w:tcPr>
          <w:p w14:paraId="2B3B104E" w14:textId="1468D7BF" w:rsidR="00C64978" w:rsidRDefault="00C64978" w:rsidP="00220EE2">
            <w:r>
              <w:t>Recueil du consentement du patient ou de son représentant légal</w:t>
            </w:r>
          </w:p>
        </w:tc>
        <w:tc>
          <w:tcPr>
            <w:tcW w:w="3498" w:type="dxa"/>
            <w:vAlign w:val="center"/>
          </w:tcPr>
          <w:p w14:paraId="13ED5A54" w14:textId="570A8E4E" w:rsidR="00C64978" w:rsidRDefault="00C64978" w:rsidP="00220EE2">
            <w:r>
              <w:t>Refus du patient</w:t>
            </w:r>
          </w:p>
        </w:tc>
        <w:tc>
          <w:tcPr>
            <w:tcW w:w="3499" w:type="dxa"/>
            <w:vAlign w:val="center"/>
          </w:tcPr>
          <w:p w14:paraId="13AF01C4" w14:textId="73E23159" w:rsidR="00C64978" w:rsidRDefault="00C64978" w:rsidP="00220EE2">
            <w:r>
              <w:t>Risque inhérent à l’accord du patient</w:t>
            </w:r>
          </w:p>
        </w:tc>
        <w:tc>
          <w:tcPr>
            <w:tcW w:w="3499" w:type="dxa"/>
            <w:vAlign w:val="center"/>
          </w:tcPr>
          <w:p w14:paraId="6F1122CC" w14:textId="77777777" w:rsidR="00C64978" w:rsidRDefault="00C64978" w:rsidP="00220EE2">
            <w:r>
              <w:t>Orienter vers le médecin pour une consultation sous 24h en cas de refus</w:t>
            </w:r>
          </w:p>
          <w:p w14:paraId="3BE366FD" w14:textId="0FB9627A" w:rsidR="00490A69" w:rsidRDefault="00490A69" w:rsidP="00220EE2">
            <w:r>
              <w:t>Noter le refus du patient ou de son représentant dans son dossier informatisé partagé</w:t>
            </w:r>
          </w:p>
        </w:tc>
      </w:tr>
      <w:tr w:rsidR="00C64978" w14:paraId="37C53E52" w14:textId="77777777" w:rsidTr="00220EE2">
        <w:tc>
          <w:tcPr>
            <w:tcW w:w="3498" w:type="dxa"/>
            <w:vAlign w:val="center"/>
          </w:tcPr>
          <w:p w14:paraId="05C4B72E" w14:textId="696D95E6" w:rsidR="00C64978" w:rsidRDefault="00C64978" w:rsidP="00220EE2">
            <w:r>
              <w:t>Interrogatoire dans le but de rechercher des critères d’exclusion</w:t>
            </w:r>
          </w:p>
        </w:tc>
        <w:tc>
          <w:tcPr>
            <w:tcW w:w="3498" w:type="dxa"/>
            <w:vAlign w:val="center"/>
          </w:tcPr>
          <w:p w14:paraId="66B4027A" w14:textId="22C4689F" w:rsidR="00C64978" w:rsidRDefault="00C64978" w:rsidP="00220EE2">
            <w:r>
              <w:t>Mauvaise interprétation de certains critères</w:t>
            </w:r>
          </w:p>
        </w:tc>
        <w:tc>
          <w:tcPr>
            <w:tcW w:w="3499" w:type="dxa"/>
            <w:vAlign w:val="center"/>
          </w:tcPr>
          <w:p w14:paraId="22CFE6F3" w14:textId="73506C7C" w:rsidR="00C64978" w:rsidRDefault="00C64978" w:rsidP="00220EE2">
            <w:r>
              <w:t>Manque d’information ou de données dans le dossier patient</w:t>
            </w:r>
          </w:p>
        </w:tc>
        <w:tc>
          <w:tcPr>
            <w:tcW w:w="3499" w:type="dxa"/>
            <w:vAlign w:val="center"/>
          </w:tcPr>
          <w:p w14:paraId="36EF7A13" w14:textId="6A2677AE" w:rsidR="00C64978" w:rsidRDefault="00C64978" w:rsidP="00220EE2">
            <w:r>
              <w:t xml:space="preserve">Formation et réévaluation des acquis des </w:t>
            </w:r>
            <w:r w:rsidR="00220EE2">
              <w:t>IDE</w:t>
            </w:r>
            <w:r>
              <w:t xml:space="preserve"> et des pharmaciens par les médecins à la recherche des critères d’exclusion à l’interrogatoire ou à l’examen clinique</w:t>
            </w:r>
          </w:p>
          <w:p w14:paraId="1CDBCFF2" w14:textId="0A26C906" w:rsidR="0094697D" w:rsidRDefault="0094697D" w:rsidP="00220EE2">
            <w:r>
              <w:t xml:space="preserve">Intégrer l’ensemble des informations concernant le patient </w:t>
            </w:r>
            <w:r w:rsidR="00490A69">
              <w:t>d</w:t>
            </w:r>
            <w:r>
              <w:t>ans le dossier informatisé partagé</w:t>
            </w:r>
          </w:p>
        </w:tc>
      </w:tr>
      <w:tr w:rsidR="00C64978" w14:paraId="383F28B2" w14:textId="77777777" w:rsidTr="00220EE2">
        <w:tc>
          <w:tcPr>
            <w:tcW w:w="3498" w:type="dxa"/>
            <w:vAlign w:val="center"/>
          </w:tcPr>
          <w:p w14:paraId="24F4AD9A" w14:textId="665AB58C" w:rsidR="00C64978" w:rsidRDefault="00C64978" w:rsidP="00220EE2">
            <w:r>
              <w:t>Examen clinique du patient</w:t>
            </w:r>
          </w:p>
        </w:tc>
        <w:tc>
          <w:tcPr>
            <w:tcW w:w="3498" w:type="dxa"/>
            <w:vAlign w:val="center"/>
          </w:tcPr>
          <w:p w14:paraId="5FDF6B85" w14:textId="77777777" w:rsidR="00C64978" w:rsidRDefault="00C64978" w:rsidP="00220EE2">
            <w:r>
              <w:t>Mauvaise interprétation d’un signe clinique. Angine non virale ou non streptococcique</w:t>
            </w:r>
            <w:r w:rsidR="0094697D">
              <w:t xml:space="preserve"> (bactérie autre notamment germes anaérobies, diphtérie, et les angines des hémopathies). </w:t>
            </w:r>
          </w:p>
          <w:p w14:paraId="59B4B04E" w14:textId="4A35CE56" w:rsidR="0094697D" w:rsidRDefault="00DF5F9A" w:rsidP="00220EE2">
            <w:r>
              <w:lastRenderedPageBreak/>
              <w:t>Complications locales</w:t>
            </w:r>
            <w:r w:rsidR="0094697D">
              <w:t>, principalement un phlegmon péri-amygdalien</w:t>
            </w:r>
          </w:p>
        </w:tc>
        <w:tc>
          <w:tcPr>
            <w:tcW w:w="3499" w:type="dxa"/>
            <w:vAlign w:val="center"/>
          </w:tcPr>
          <w:p w14:paraId="03DC857E" w14:textId="4A427E87" w:rsidR="00C64978" w:rsidRDefault="0094697D" w:rsidP="00220EE2">
            <w:r>
              <w:lastRenderedPageBreak/>
              <w:t>Manque de formation</w:t>
            </w:r>
          </w:p>
        </w:tc>
        <w:tc>
          <w:tcPr>
            <w:tcW w:w="3499" w:type="dxa"/>
            <w:vAlign w:val="center"/>
          </w:tcPr>
          <w:p w14:paraId="20E93FF3" w14:textId="77777777" w:rsidR="00C64978" w:rsidRDefault="0094697D" w:rsidP="00220EE2">
            <w:r>
              <w:t xml:space="preserve">Formation et réévaluation des acquis des infirmiers diplômés d’état et des pharmaciens par les médecins à l’identification des formes graves de l’angine et des diagnostics différentiels lors de l’examen des amygdales. </w:t>
            </w:r>
          </w:p>
          <w:p w14:paraId="3DF9EE7E" w14:textId="2542810E" w:rsidR="0094697D" w:rsidRDefault="0094697D" w:rsidP="00220EE2">
            <w:r>
              <w:lastRenderedPageBreak/>
              <w:t>Mise en place d’un formulaire clair intégré au logiciel informatique</w:t>
            </w:r>
          </w:p>
        </w:tc>
      </w:tr>
      <w:tr w:rsidR="00C64978" w14:paraId="467BF55B" w14:textId="77777777" w:rsidTr="00220EE2">
        <w:tc>
          <w:tcPr>
            <w:tcW w:w="3498" w:type="dxa"/>
            <w:vAlign w:val="center"/>
          </w:tcPr>
          <w:p w14:paraId="6A091518" w14:textId="12DE7F4D" w:rsidR="00C64978" w:rsidRDefault="0094697D" w:rsidP="00220EE2">
            <w:r>
              <w:lastRenderedPageBreak/>
              <w:t>Réalisation du TROD angine</w:t>
            </w:r>
          </w:p>
        </w:tc>
        <w:tc>
          <w:tcPr>
            <w:tcW w:w="3498" w:type="dxa"/>
            <w:vAlign w:val="center"/>
          </w:tcPr>
          <w:p w14:paraId="797B3127" w14:textId="63453F08" w:rsidR="00C64978" w:rsidRDefault="0094697D" w:rsidP="00220EE2">
            <w:r>
              <w:t>Mauvaise lecture du test par l’infirmier diplômé d’état ou le pharmacien d’officine</w:t>
            </w:r>
          </w:p>
        </w:tc>
        <w:tc>
          <w:tcPr>
            <w:tcW w:w="3499" w:type="dxa"/>
            <w:vAlign w:val="center"/>
          </w:tcPr>
          <w:p w14:paraId="0619938B" w14:textId="77B4AED9" w:rsidR="00C64978" w:rsidRDefault="0094697D" w:rsidP="00220EE2">
            <w:r>
              <w:t xml:space="preserve">Manque de formation </w:t>
            </w:r>
          </w:p>
        </w:tc>
        <w:tc>
          <w:tcPr>
            <w:tcW w:w="3499" w:type="dxa"/>
            <w:vAlign w:val="center"/>
          </w:tcPr>
          <w:p w14:paraId="1E3DDE0A" w14:textId="5246CF5D" w:rsidR="00C64978" w:rsidRDefault="0094697D" w:rsidP="00220EE2">
            <w:r>
              <w:t>Réévaluation régulière</w:t>
            </w:r>
          </w:p>
        </w:tc>
      </w:tr>
      <w:tr w:rsidR="0094697D" w14:paraId="5D150BA7" w14:textId="77777777" w:rsidTr="00220EE2">
        <w:trPr>
          <w:trHeight w:val="290"/>
        </w:trPr>
        <w:tc>
          <w:tcPr>
            <w:tcW w:w="3498" w:type="dxa"/>
            <w:vMerge w:val="restart"/>
            <w:vAlign w:val="center"/>
          </w:tcPr>
          <w:p w14:paraId="1C808817" w14:textId="79A605A8" w:rsidR="0094697D" w:rsidRDefault="0094697D" w:rsidP="00220EE2">
            <w:r>
              <w:t>Prescription de l’antibiotique</w:t>
            </w:r>
          </w:p>
        </w:tc>
        <w:tc>
          <w:tcPr>
            <w:tcW w:w="3498" w:type="dxa"/>
            <w:vMerge w:val="restart"/>
            <w:vAlign w:val="center"/>
          </w:tcPr>
          <w:p w14:paraId="09F1A0A4" w14:textId="5803F824" w:rsidR="0094697D" w:rsidRDefault="0094697D" w:rsidP="00220EE2">
            <w:r>
              <w:t>Erreur de prescription (Contre-indication, allergie, interaction…)</w:t>
            </w:r>
          </w:p>
        </w:tc>
        <w:tc>
          <w:tcPr>
            <w:tcW w:w="3499" w:type="dxa"/>
            <w:vAlign w:val="center"/>
          </w:tcPr>
          <w:p w14:paraId="15AC7598" w14:textId="38F383EB" w:rsidR="0094697D" w:rsidRDefault="0094697D" w:rsidP="00220EE2">
            <w:r>
              <w:t>Manque de formation et/ou manque de connaissance de molécules et/ou manque de données dans le dossier patient</w:t>
            </w:r>
          </w:p>
        </w:tc>
        <w:tc>
          <w:tcPr>
            <w:tcW w:w="3499" w:type="dxa"/>
            <w:vAlign w:val="center"/>
          </w:tcPr>
          <w:p w14:paraId="4F3FF2C9" w14:textId="5D754377" w:rsidR="0094697D" w:rsidRDefault="0094697D" w:rsidP="00220EE2">
            <w:r>
              <w:t xml:space="preserve">Prescription types et présentées dans le cadre d’une formation des </w:t>
            </w:r>
            <w:r w:rsidR="00220EE2">
              <w:t>IDE</w:t>
            </w:r>
            <w:r>
              <w:t xml:space="preserve"> et des pharmaciens par les médecins</w:t>
            </w:r>
          </w:p>
          <w:p w14:paraId="61A3CFAD" w14:textId="77777777" w:rsidR="0094697D" w:rsidRDefault="0094697D" w:rsidP="00220EE2">
            <w:r>
              <w:t xml:space="preserve">Partage du </w:t>
            </w:r>
            <w:r w:rsidRPr="00220EE2">
              <w:t>dossier</w:t>
            </w:r>
            <w:r>
              <w:t xml:space="preserve"> patient contenant les allergies de celui-ci</w:t>
            </w:r>
          </w:p>
          <w:p w14:paraId="1427FCAC" w14:textId="0F83CF81" w:rsidR="0094697D" w:rsidRDefault="0094697D" w:rsidP="00220EE2">
            <w:r>
              <w:t xml:space="preserve">Relecture de la prescription de </w:t>
            </w:r>
            <w:r w:rsidR="00220EE2">
              <w:t>l’IDE</w:t>
            </w:r>
            <w:r>
              <w:t xml:space="preserve"> par le pharmacien</w:t>
            </w:r>
            <w:r w:rsidR="006266C4">
              <w:t xml:space="preserve"> de la maison de santé ayant lui aussi accès au dossier médical du patient</w:t>
            </w:r>
          </w:p>
        </w:tc>
      </w:tr>
      <w:tr w:rsidR="0094697D" w14:paraId="6C36AB66" w14:textId="77777777" w:rsidTr="00220EE2">
        <w:trPr>
          <w:trHeight w:val="290"/>
        </w:trPr>
        <w:tc>
          <w:tcPr>
            <w:tcW w:w="3498" w:type="dxa"/>
            <w:vMerge/>
            <w:vAlign w:val="center"/>
          </w:tcPr>
          <w:p w14:paraId="1FF551AE" w14:textId="77777777" w:rsidR="0094697D" w:rsidRDefault="0094697D" w:rsidP="00220EE2"/>
        </w:tc>
        <w:tc>
          <w:tcPr>
            <w:tcW w:w="3498" w:type="dxa"/>
            <w:vMerge/>
            <w:vAlign w:val="center"/>
          </w:tcPr>
          <w:p w14:paraId="214B32B7" w14:textId="77777777" w:rsidR="0094697D" w:rsidRDefault="0094697D" w:rsidP="00220EE2"/>
        </w:tc>
        <w:tc>
          <w:tcPr>
            <w:tcW w:w="3499" w:type="dxa"/>
            <w:vAlign w:val="center"/>
          </w:tcPr>
          <w:p w14:paraId="5CE55A4A" w14:textId="577AE80A" w:rsidR="0094697D" w:rsidRDefault="006266C4" w:rsidP="00220EE2">
            <w:r>
              <w:t>Changement des recommandations</w:t>
            </w:r>
          </w:p>
        </w:tc>
        <w:tc>
          <w:tcPr>
            <w:tcW w:w="3499" w:type="dxa"/>
            <w:vAlign w:val="center"/>
          </w:tcPr>
          <w:p w14:paraId="65C5B17B" w14:textId="7C5C9D01" w:rsidR="0094697D" w:rsidRDefault="006266C4" w:rsidP="00220EE2">
            <w:r>
              <w:t>Remise à jour de l’ordonnance type par le médecin</w:t>
            </w:r>
          </w:p>
        </w:tc>
      </w:tr>
      <w:tr w:rsidR="006266C4" w14:paraId="7BC2FEA2" w14:textId="77777777" w:rsidTr="00220EE2">
        <w:trPr>
          <w:trHeight w:val="290"/>
        </w:trPr>
        <w:tc>
          <w:tcPr>
            <w:tcW w:w="3498" w:type="dxa"/>
            <w:vMerge w:val="restart"/>
            <w:vAlign w:val="center"/>
          </w:tcPr>
          <w:p w14:paraId="0B6CF637" w14:textId="2B1CCD8B" w:rsidR="006266C4" w:rsidRDefault="006266C4" w:rsidP="00220EE2">
            <w:r>
              <w:t>Prescription du traitement symptomatique</w:t>
            </w:r>
          </w:p>
        </w:tc>
        <w:tc>
          <w:tcPr>
            <w:tcW w:w="3498" w:type="dxa"/>
            <w:vAlign w:val="center"/>
          </w:tcPr>
          <w:p w14:paraId="6379811B" w14:textId="7F03F184" w:rsidR="006266C4" w:rsidRDefault="006266C4" w:rsidP="00220EE2">
            <w:r>
              <w:t xml:space="preserve">Erreur dans </w:t>
            </w:r>
            <w:r w:rsidR="0013146F">
              <w:t>la prescription</w:t>
            </w:r>
          </w:p>
        </w:tc>
        <w:tc>
          <w:tcPr>
            <w:tcW w:w="3499" w:type="dxa"/>
            <w:vAlign w:val="center"/>
          </w:tcPr>
          <w:p w14:paraId="475ADDD9" w14:textId="06BE0700" w:rsidR="006266C4" w:rsidRDefault="006266C4" w:rsidP="00220EE2">
            <w:r>
              <w:t>Manque de formation et risque inhérent à la prescription</w:t>
            </w:r>
          </w:p>
        </w:tc>
        <w:tc>
          <w:tcPr>
            <w:tcW w:w="3499" w:type="dxa"/>
            <w:vMerge w:val="restart"/>
            <w:vAlign w:val="center"/>
          </w:tcPr>
          <w:p w14:paraId="5ED7BDC2" w14:textId="77777777" w:rsidR="006266C4" w:rsidRDefault="006266C4" w:rsidP="00220EE2">
            <w:r>
              <w:t>Prescription type</w:t>
            </w:r>
          </w:p>
          <w:p w14:paraId="3FAF9BAF" w14:textId="77777777" w:rsidR="006266C4" w:rsidRDefault="006266C4" w:rsidP="00220EE2">
            <w:r>
              <w:t>Réévaluation régulière des recommandations</w:t>
            </w:r>
          </w:p>
          <w:p w14:paraId="55641694" w14:textId="138A293C" w:rsidR="006266C4" w:rsidRDefault="006266C4" w:rsidP="00220EE2">
            <w:r>
              <w:t>Accès au dossier patient</w:t>
            </w:r>
          </w:p>
        </w:tc>
      </w:tr>
      <w:tr w:rsidR="006266C4" w14:paraId="123307F6" w14:textId="77777777" w:rsidTr="00220EE2">
        <w:trPr>
          <w:trHeight w:val="290"/>
        </w:trPr>
        <w:tc>
          <w:tcPr>
            <w:tcW w:w="3498" w:type="dxa"/>
            <w:vMerge/>
            <w:vAlign w:val="center"/>
          </w:tcPr>
          <w:p w14:paraId="227977A5" w14:textId="77777777" w:rsidR="006266C4" w:rsidRDefault="006266C4" w:rsidP="00220EE2"/>
        </w:tc>
        <w:tc>
          <w:tcPr>
            <w:tcW w:w="3498" w:type="dxa"/>
            <w:vAlign w:val="center"/>
          </w:tcPr>
          <w:p w14:paraId="18943398" w14:textId="18C05BE0" w:rsidR="006266C4" w:rsidRDefault="006266C4" w:rsidP="00220EE2">
            <w:r>
              <w:t>Demande du patient pour des médicaments autres</w:t>
            </w:r>
          </w:p>
        </w:tc>
        <w:tc>
          <w:tcPr>
            <w:tcW w:w="3499" w:type="dxa"/>
            <w:vAlign w:val="center"/>
          </w:tcPr>
          <w:p w14:paraId="088C1122" w14:textId="041A5755" w:rsidR="006266C4" w:rsidRDefault="006266C4" w:rsidP="00220EE2">
            <w:r>
              <w:t>Risque inhérent au patient</w:t>
            </w:r>
          </w:p>
        </w:tc>
        <w:tc>
          <w:tcPr>
            <w:tcW w:w="3499" w:type="dxa"/>
            <w:vMerge/>
            <w:vAlign w:val="center"/>
          </w:tcPr>
          <w:p w14:paraId="28EFCA5D" w14:textId="615F1ACE" w:rsidR="006266C4" w:rsidRDefault="006266C4" w:rsidP="00220EE2"/>
        </w:tc>
      </w:tr>
      <w:tr w:rsidR="00C64978" w14:paraId="06657B5D" w14:textId="77777777" w:rsidTr="00220EE2">
        <w:tc>
          <w:tcPr>
            <w:tcW w:w="3498" w:type="dxa"/>
            <w:vAlign w:val="center"/>
          </w:tcPr>
          <w:p w14:paraId="02AF947A" w14:textId="17978FD3" w:rsidR="00C64978" w:rsidRDefault="006266C4" w:rsidP="00220EE2">
            <w:r>
              <w:t>Prescription d’un arrêt de travail d’un jour</w:t>
            </w:r>
          </w:p>
        </w:tc>
        <w:tc>
          <w:tcPr>
            <w:tcW w:w="3498" w:type="dxa"/>
            <w:vAlign w:val="center"/>
          </w:tcPr>
          <w:p w14:paraId="24DFB71B" w14:textId="60607786" w:rsidR="00C64978" w:rsidRDefault="006266C4" w:rsidP="00220EE2">
            <w:r>
              <w:t>Sur ou sous prescription</w:t>
            </w:r>
          </w:p>
        </w:tc>
        <w:tc>
          <w:tcPr>
            <w:tcW w:w="3499" w:type="dxa"/>
            <w:vAlign w:val="center"/>
          </w:tcPr>
          <w:p w14:paraId="358055C9" w14:textId="06F76F3F" w:rsidR="00C64978" w:rsidRDefault="006266C4" w:rsidP="00220EE2">
            <w:r>
              <w:t>Manque de pratique</w:t>
            </w:r>
          </w:p>
        </w:tc>
        <w:tc>
          <w:tcPr>
            <w:tcW w:w="3499" w:type="dxa"/>
            <w:vAlign w:val="center"/>
          </w:tcPr>
          <w:p w14:paraId="1767DBBC" w14:textId="6A2977EC" w:rsidR="00C64978" w:rsidRDefault="006266C4" w:rsidP="00220EE2">
            <w:r>
              <w:t>Faire apparaitre les critères de prescription d’arrêt de travail dans le formulaire de prise en charge</w:t>
            </w:r>
          </w:p>
        </w:tc>
      </w:tr>
    </w:tbl>
    <w:p w14:paraId="36CFD906" w14:textId="77777777" w:rsidR="00DF5F9A" w:rsidRDefault="00DF5F9A" w:rsidP="00220EE2">
      <w:pPr>
        <w:sectPr w:rsidR="00DF5F9A" w:rsidSect="00C64978">
          <w:pgSz w:w="16838" w:h="11906" w:orient="landscape"/>
          <w:pgMar w:top="1417" w:right="1417" w:bottom="1417" w:left="1417" w:header="708" w:footer="708" w:gutter="0"/>
          <w:cols w:space="708"/>
          <w:docGrid w:linePitch="360"/>
        </w:sectPr>
      </w:pPr>
    </w:p>
    <w:p w14:paraId="051BBFAD" w14:textId="77777777" w:rsidR="00DF5F9A" w:rsidRDefault="00DF5F9A" w:rsidP="00220EE2">
      <w:pPr>
        <w:pStyle w:val="Titre"/>
      </w:pPr>
      <w:r>
        <w:lastRenderedPageBreak/>
        <w:t>Suivi du protocole</w:t>
      </w:r>
    </w:p>
    <w:p w14:paraId="7D4DA207" w14:textId="4C186C47" w:rsidR="00DF5F9A" w:rsidRDefault="00DF5F9A" w:rsidP="00220EE2">
      <w:r>
        <w:t>Les indicateurs d’activité et de qualité sont indiqués dans le tableau en annexe 2 « tableau des indicateurs »</w:t>
      </w:r>
    </w:p>
    <w:p w14:paraId="09EE22A1" w14:textId="2C3B2DB0" w:rsidR="00DF5F9A" w:rsidRDefault="00DF5F9A" w:rsidP="00220EE2">
      <w:r>
        <w:t xml:space="preserve">Ces indicateurs doivent être requêtés tous les trimestres par les responsables des requêtes informatiques de la </w:t>
      </w:r>
      <w:r w:rsidR="00424705">
        <w:t>structure</w:t>
      </w:r>
      <w:r>
        <w:t xml:space="preserve"> et seront analysés en groupe d’analyse de pratique.</w:t>
      </w:r>
    </w:p>
    <w:p w14:paraId="010C0E0C" w14:textId="7AB88E44" w:rsidR="00DF5F9A" w:rsidRDefault="00DF5F9A" w:rsidP="00220EE2">
      <w:r>
        <w:t xml:space="preserve">Les groupes d’analyse de pratique réunissent les médecins généralistes, les pharmaciens d’officine et les </w:t>
      </w:r>
      <w:r w:rsidR="00220EE2">
        <w:t>IDE</w:t>
      </w:r>
      <w:r>
        <w:t xml:space="preserve"> de la </w:t>
      </w:r>
      <w:r w:rsidR="00424705">
        <w:t>structure</w:t>
      </w:r>
      <w:r>
        <w:t xml:space="preserve"> prenant part au protocole.</w:t>
      </w:r>
    </w:p>
    <w:p w14:paraId="44A453EE" w14:textId="77777777" w:rsidR="00237C9E" w:rsidRDefault="00237C9E" w:rsidP="00220EE2"/>
    <w:p w14:paraId="42402480" w14:textId="77777777" w:rsidR="00237C9E" w:rsidRPr="0013146F" w:rsidRDefault="00237C9E" w:rsidP="00220EE2">
      <w:r w:rsidRPr="0013146F">
        <w:t>Trois types d’indicateurs seront requêtés :</w:t>
      </w:r>
    </w:p>
    <w:p w14:paraId="1E83E205" w14:textId="7ED6570C" w:rsidR="00237C9E" w:rsidRDefault="00237C9E" w:rsidP="00220EE2">
      <w:pPr>
        <w:pStyle w:val="Paragraphedeliste"/>
        <w:numPr>
          <w:ilvl w:val="0"/>
          <w:numId w:val="2"/>
        </w:numPr>
      </w:pPr>
      <w:r w:rsidRPr="00220EE2">
        <w:t xml:space="preserve">Indicateurs </w:t>
      </w:r>
      <w:r w:rsidRPr="002B5BA1">
        <w:t>d’</w:t>
      </w:r>
      <w:r w:rsidRPr="002B5BA1">
        <w:rPr>
          <w:b/>
          <w:bCs/>
        </w:rPr>
        <w:t>activité</w:t>
      </w:r>
      <w:r>
        <w:t> :</w:t>
      </w:r>
    </w:p>
    <w:p w14:paraId="7FD65AD2" w14:textId="06D4EEF3" w:rsidR="00237C9E" w:rsidRDefault="00237C9E" w:rsidP="00220EE2">
      <w:pPr>
        <w:pStyle w:val="Paragraphedeliste"/>
        <w:numPr>
          <w:ilvl w:val="1"/>
          <w:numId w:val="2"/>
        </w:numPr>
      </w:pPr>
      <w:r>
        <w:t xml:space="preserve">Nombre de consultation pour mal de gorge en hausse chez les pharmaciens d’officine et/ou </w:t>
      </w:r>
      <w:r w:rsidR="00220EE2">
        <w:t>les IDE</w:t>
      </w:r>
      <w:r>
        <w:t xml:space="preserve"> et en baisse chez les médecins (hors critères d’exclusion)</w:t>
      </w:r>
    </w:p>
    <w:p w14:paraId="4520FB62" w14:textId="74F962BA" w:rsidR="00237C9E" w:rsidRDefault="00237C9E" w:rsidP="00220EE2">
      <w:pPr>
        <w:pStyle w:val="Paragraphedeliste"/>
        <w:numPr>
          <w:ilvl w:val="1"/>
          <w:numId w:val="2"/>
        </w:numPr>
      </w:pPr>
      <w:r>
        <w:t>Nombre de patients inclus dans le protocole de coopération en hausse</w:t>
      </w:r>
    </w:p>
    <w:p w14:paraId="7D9842A9" w14:textId="1E4D640C" w:rsidR="00237C9E" w:rsidRPr="00220EE2" w:rsidRDefault="00237C9E" w:rsidP="00220EE2">
      <w:pPr>
        <w:pStyle w:val="Paragraphedeliste"/>
        <w:numPr>
          <w:ilvl w:val="0"/>
          <w:numId w:val="2"/>
        </w:numPr>
      </w:pPr>
      <w:r w:rsidRPr="00220EE2">
        <w:t xml:space="preserve">Indicateurs de </w:t>
      </w:r>
      <w:r w:rsidRPr="002B5BA1">
        <w:rPr>
          <w:b/>
          <w:bCs/>
        </w:rPr>
        <w:t>qualité</w:t>
      </w:r>
    </w:p>
    <w:p w14:paraId="1A03D82F" w14:textId="300AF704" w:rsidR="00237C9E" w:rsidRDefault="00237C9E" w:rsidP="00220EE2">
      <w:pPr>
        <w:pStyle w:val="Paragraphedeliste"/>
        <w:numPr>
          <w:ilvl w:val="1"/>
          <w:numId w:val="2"/>
        </w:numPr>
      </w:pPr>
      <w:r>
        <w:t>Nombre de reprise p</w:t>
      </w:r>
      <w:r w:rsidR="0013146F">
        <w:t>a</w:t>
      </w:r>
      <w:r>
        <w:t>r le médecin généraliste p</w:t>
      </w:r>
      <w:r w:rsidR="0013146F">
        <w:t>a</w:t>
      </w:r>
      <w:r>
        <w:t>r rapport au nombre de patient inclus</w:t>
      </w:r>
    </w:p>
    <w:p w14:paraId="190EB361" w14:textId="0316B610" w:rsidR="00237C9E" w:rsidRDefault="00237C9E" w:rsidP="00220EE2">
      <w:pPr>
        <w:pStyle w:val="Paragraphedeliste"/>
        <w:numPr>
          <w:ilvl w:val="1"/>
          <w:numId w:val="2"/>
        </w:numPr>
      </w:pPr>
      <w:r>
        <w:t xml:space="preserve">Nombre de </w:t>
      </w:r>
      <w:proofErr w:type="spellStart"/>
      <w:r>
        <w:t>re</w:t>
      </w:r>
      <w:proofErr w:type="spellEnd"/>
      <w:r>
        <w:t>-consultation après inclusion au protocole</w:t>
      </w:r>
    </w:p>
    <w:p w14:paraId="19533711" w14:textId="545AF948" w:rsidR="00237C9E" w:rsidRDefault="00237C9E" w:rsidP="00220EE2">
      <w:pPr>
        <w:pStyle w:val="Paragraphedeliste"/>
        <w:numPr>
          <w:ilvl w:val="1"/>
          <w:numId w:val="2"/>
        </w:numPr>
      </w:pPr>
      <w:r>
        <w:t>Nombre de réunions d’analyse de pratique (au minimum une par trimestre)</w:t>
      </w:r>
    </w:p>
    <w:p w14:paraId="0E689D42" w14:textId="77777777" w:rsidR="00237C9E" w:rsidRPr="002B5BA1" w:rsidRDefault="00237C9E" w:rsidP="00220EE2">
      <w:pPr>
        <w:pStyle w:val="Paragraphedeliste"/>
        <w:numPr>
          <w:ilvl w:val="0"/>
          <w:numId w:val="2"/>
        </w:numPr>
        <w:rPr>
          <w:b/>
          <w:bCs/>
        </w:rPr>
      </w:pPr>
      <w:r w:rsidRPr="00220EE2">
        <w:t xml:space="preserve">Indicateurs de </w:t>
      </w:r>
      <w:r w:rsidRPr="002B5BA1">
        <w:rPr>
          <w:b/>
          <w:bCs/>
        </w:rPr>
        <w:t>satisfaction patient</w:t>
      </w:r>
    </w:p>
    <w:p w14:paraId="5A094173" w14:textId="77777777" w:rsidR="00237C9E" w:rsidRDefault="00237C9E" w:rsidP="00220EE2">
      <w:pPr>
        <w:pStyle w:val="Paragraphedeliste"/>
        <w:numPr>
          <w:ilvl w:val="1"/>
          <w:numId w:val="2"/>
        </w:numPr>
      </w:pPr>
      <w:r>
        <w:t>Nombre de refus par rapport au nombre de patients inclus</w:t>
      </w:r>
    </w:p>
    <w:p w14:paraId="1EE81E9C" w14:textId="1A5F10A9" w:rsidR="00237C9E" w:rsidRDefault="00237C9E" w:rsidP="00220EE2">
      <w:pPr>
        <w:pStyle w:val="Paragraphedeliste"/>
        <w:numPr>
          <w:ilvl w:val="1"/>
          <w:numId w:val="2"/>
        </w:numPr>
      </w:pPr>
      <w:r>
        <w:t>Enquête de satisfaction</w:t>
      </w:r>
      <w:r w:rsidR="004E47A0">
        <w:t xml:space="preserve"> </w:t>
      </w:r>
      <w:r w:rsidR="00AB4521">
        <w:t>(</w:t>
      </w:r>
      <w:proofErr w:type="spellStart"/>
      <w:r w:rsidR="00AB4521">
        <w:t>Cf</w:t>
      </w:r>
      <w:proofErr w:type="spellEnd"/>
      <w:r w:rsidR="00AB4521">
        <w:t xml:space="preserve"> document associé « </w:t>
      </w:r>
      <w:r w:rsidR="00C600E1">
        <w:rPr>
          <w:i/>
          <w:iCs/>
        </w:rPr>
        <w:t>PR. 01.4 – E</w:t>
      </w:r>
      <w:r w:rsidR="00AB4521">
        <w:rPr>
          <w:i/>
          <w:iCs/>
        </w:rPr>
        <w:t xml:space="preserve">nquête de satisfaction </w:t>
      </w:r>
      <w:r w:rsidR="00AB4521" w:rsidRPr="00E67E8E">
        <w:rPr>
          <w:i/>
          <w:iCs/>
        </w:rPr>
        <w:t>patient </w:t>
      </w:r>
      <w:r w:rsidR="00220EE2">
        <w:t>») après</w:t>
      </w:r>
      <w:r>
        <w:t xml:space="preserve"> la prise en </w:t>
      </w:r>
      <w:r w:rsidR="0013146F">
        <w:t>charge,</w:t>
      </w:r>
      <w:r w:rsidR="00533077">
        <w:t xml:space="preserve"> à 3 mois après la mise en place du protocole et puis à 18 mois et 36 mois</w:t>
      </w:r>
    </w:p>
    <w:p w14:paraId="54766EC7" w14:textId="77777777" w:rsidR="00533077" w:rsidRDefault="00533077" w:rsidP="00220EE2"/>
    <w:p w14:paraId="268B40EB" w14:textId="23C47440" w:rsidR="00220EE2" w:rsidRDefault="00220EE2" w:rsidP="00220EE2">
      <w:pPr>
        <w:pStyle w:val="Titre"/>
      </w:pPr>
      <w:r>
        <w:t>Arrêt et suspension du protocole</w:t>
      </w:r>
    </w:p>
    <w:p w14:paraId="0E2BA75B" w14:textId="7A9CE072" w:rsidR="00533077" w:rsidRPr="00220EE2" w:rsidRDefault="00220EE2" w:rsidP="00220EE2">
      <w:r w:rsidRPr="00220EE2">
        <w:rPr>
          <w:b/>
          <w:bCs/>
        </w:rPr>
        <w:t>L’a</w:t>
      </w:r>
      <w:r w:rsidR="00533077" w:rsidRPr="00220EE2">
        <w:rPr>
          <w:b/>
          <w:bCs/>
        </w:rPr>
        <w:t>rrêt</w:t>
      </w:r>
      <w:r w:rsidR="00533077" w:rsidRPr="00220EE2">
        <w:t xml:space="preserve"> </w:t>
      </w:r>
      <w:r w:rsidR="0013146F" w:rsidRPr="00220EE2">
        <w:t xml:space="preserve">du protocole </w:t>
      </w:r>
      <w:r w:rsidRPr="00220EE2">
        <w:t xml:space="preserve">est </w:t>
      </w:r>
      <w:r w:rsidR="00533077" w:rsidRPr="00220EE2">
        <w:t>envisagé en réunion d’analyse des pratiques si :</w:t>
      </w:r>
    </w:p>
    <w:p w14:paraId="014AB85A" w14:textId="77777777" w:rsidR="00533077" w:rsidRDefault="00533077" w:rsidP="00220EE2">
      <w:pPr>
        <w:pStyle w:val="Paragraphedeliste"/>
        <w:numPr>
          <w:ilvl w:val="0"/>
          <w:numId w:val="2"/>
        </w:numPr>
      </w:pPr>
      <w:r>
        <w:t>Nombre d’appels au médecin généraliste par les patients inclus devient &gt;50%</w:t>
      </w:r>
    </w:p>
    <w:p w14:paraId="0EA05204" w14:textId="591A4AAA" w:rsidR="00533077" w:rsidRDefault="00533077" w:rsidP="00220EE2">
      <w:pPr>
        <w:pStyle w:val="Paragraphedeliste"/>
        <w:numPr>
          <w:ilvl w:val="0"/>
          <w:numId w:val="2"/>
        </w:numPr>
      </w:pPr>
      <w:r>
        <w:t>Si l’enquête de satisfaction patient révèle un mécontentement &gt;30%</w:t>
      </w:r>
    </w:p>
    <w:p w14:paraId="66C256DE" w14:textId="77777777" w:rsidR="00533077" w:rsidRDefault="00533077" w:rsidP="00220EE2">
      <w:pPr>
        <w:pStyle w:val="Paragraphedeliste"/>
        <w:numPr>
          <w:ilvl w:val="0"/>
          <w:numId w:val="2"/>
        </w:numPr>
      </w:pPr>
      <w:r>
        <w:t>Si l’enquête de satisfaction patient révèle un sentiment d’insécurité &gt;30%</w:t>
      </w:r>
    </w:p>
    <w:p w14:paraId="7BC3A28E" w14:textId="77777777" w:rsidR="00533077" w:rsidRDefault="00533077" w:rsidP="00220EE2"/>
    <w:p w14:paraId="62A701CE" w14:textId="58099D7F" w:rsidR="00E208BA" w:rsidRDefault="0013146F" w:rsidP="00220EE2">
      <w:r>
        <w:t>Le protocole</w:t>
      </w:r>
      <w:r w:rsidR="00533077">
        <w:t xml:space="preserve"> sera </w:t>
      </w:r>
      <w:r w:rsidR="00533077" w:rsidRPr="00220EE2">
        <w:rPr>
          <w:b/>
          <w:bCs/>
        </w:rPr>
        <w:t>suspendu</w:t>
      </w:r>
      <w:r w:rsidR="00533077">
        <w:t xml:space="preserve"> pour les patients d’un médecin généraliste qui est absent plus de deux mois sauf s’il se fait remplacer par un autre médecin généraliste prenant part au protocole.</w:t>
      </w:r>
    </w:p>
    <w:p w14:paraId="032C1B74" w14:textId="77777777" w:rsidR="00E208BA" w:rsidRDefault="00E208BA" w:rsidP="00220EE2">
      <w:r>
        <w:br w:type="page"/>
      </w:r>
    </w:p>
    <w:p w14:paraId="5E3660B8" w14:textId="77777777" w:rsidR="00533077" w:rsidRDefault="00E208BA" w:rsidP="00220EE2">
      <w:pPr>
        <w:pStyle w:val="Titre"/>
      </w:pPr>
      <w:r>
        <w:lastRenderedPageBreak/>
        <w:t>Retour d’expérience du protocole</w:t>
      </w:r>
    </w:p>
    <w:p w14:paraId="7CF50E63" w14:textId="77777777" w:rsidR="007C1EBE" w:rsidRDefault="007C1EBE" w:rsidP="00220EE2">
      <w:pPr>
        <w:pStyle w:val="Titre1"/>
      </w:pPr>
      <w:r>
        <w:t>Cas général</w:t>
      </w:r>
    </w:p>
    <w:p w14:paraId="60A627DA" w14:textId="08FB5135" w:rsidR="007C1EBE" w:rsidRDefault="007C1EBE" w:rsidP="00220EE2">
      <w:r>
        <w:t xml:space="preserve">Le retour d’expérience s’effectue dans le cadre d’un groupe d’analyse des </w:t>
      </w:r>
      <w:r w:rsidR="00FA3738">
        <w:t>pratiques</w:t>
      </w:r>
      <w:r>
        <w:t xml:space="preserve"> </w:t>
      </w:r>
      <w:r w:rsidR="00FA3738">
        <w:t xml:space="preserve">qui se réunit </w:t>
      </w:r>
      <w:r>
        <w:t>tous les trimestres</w:t>
      </w:r>
      <w:r w:rsidR="00FA3738">
        <w:t xml:space="preserve"> (soit quatre fois par an)</w:t>
      </w:r>
      <w:r w:rsidR="00B00D58">
        <w:t xml:space="preserve">. Il réunit l’ensemble des médecins généralistes, les pharmaciens d’officine et les </w:t>
      </w:r>
      <w:r w:rsidR="00220EE2">
        <w:t>IDE</w:t>
      </w:r>
      <w:r w:rsidR="00B00D58">
        <w:t xml:space="preserve"> de la </w:t>
      </w:r>
      <w:r w:rsidR="00424705">
        <w:t>structure</w:t>
      </w:r>
      <w:r w:rsidR="00B00D58">
        <w:t xml:space="preserve"> prenant part au protocole.</w:t>
      </w:r>
    </w:p>
    <w:p w14:paraId="44A04571" w14:textId="1D8F016B" w:rsidR="00B00D58" w:rsidRDefault="00B00D58" w:rsidP="00220EE2">
      <w:r>
        <w:t xml:space="preserve">Au cours de ces groupes d’analyse des pratiques, les médecins généralistes, les pharmaciens d’officine et les </w:t>
      </w:r>
      <w:r w:rsidR="002B5BA1">
        <w:t>IDE échangent</w:t>
      </w:r>
      <w:r>
        <w:t xml:space="preserve"> autour : </w:t>
      </w:r>
    </w:p>
    <w:p w14:paraId="39B2B536" w14:textId="73EC4181" w:rsidR="00B00D58" w:rsidRDefault="00B00D58" w:rsidP="00220EE2">
      <w:pPr>
        <w:pStyle w:val="Paragraphedeliste"/>
        <w:numPr>
          <w:ilvl w:val="0"/>
          <w:numId w:val="2"/>
        </w:numPr>
      </w:pPr>
      <w:r>
        <w:t xml:space="preserve">D’évènements indésirables survenus au cours de la mise en œuvre du </w:t>
      </w:r>
      <w:r w:rsidR="00D97155">
        <w:t>protocole (</w:t>
      </w:r>
      <w:r>
        <w:t xml:space="preserve">nature, de l’évènement, actions correctives mises en place, suivi de ces actions correctives…) </w:t>
      </w:r>
    </w:p>
    <w:p w14:paraId="3E7AF286" w14:textId="77777777" w:rsidR="00B00D58" w:rsidRDefault="00B00D58" w:rsidP="00220EE2">
      <w:pPr>
        <w:pStyle w:val="Paragraphedeliste"/>
        <w:numPr>
          <w:ilvl w:val="0"/>
          <w:numId w:val="2"/>
        </w:numPr>
      </w:pPr>
      <w:r>
        <w:t>De situations tirées au sort</w:t>
      </w:r>
    </w:p>
    <w:p w14:paraId="4F52D896" w14:textId="7F3CEC57" w:rsidR="00B00D58" w:rsidRDefault="00B00D58" w:rsidP="00220EE2">
      <w:pPr>
        <w:pStyle w:val="Paragraphedeliste"/>
        <w:numPr>
          <w:ilvl w:val="0"/>
          <w:numId w:val="2"/>
        </w:numPr>
      </w:pPr>
      <w:r>
        <w:t xml:space="preserve">De la satisfaction des médecins généralistes, des pharmaciens d’officine et des </w:t>
      </w:r>
      <w:r w:rsidR="00220EE2">
        <w:t>IDE</w:t>
      </w:r>
      <w:r w:rsidR="00AB4521">
        <w:t xml:space="preserve"> (</w:t>
      </w:r>
      <w:proofErr w:type="spellStart"/>
      <w:r w:rsidR="00AB4521">
        <w:t>Cf</w:t>
      </w:r>
      <w:proofErr w:type="spellEnd"/>
      <w:r w:rsidR="00AB4521">
        <w:t xml:space="preserve"> documents associés</w:t>
      </w:r>
      <w:r w:rsidR="00C600E1">
        <w:t xml:space="preserve"> « </w:t>
      </w:r>
      <w:r w:rsidR="00C600E1">
        <w:rPr>
          <w:i/>
          <w:iCs/>
        </w:rPr>
        <w:t>PR. 01.3 – E</w:t>
      </w:r>
      <w:r w:rsidR="00C600E1" w:rsidRPr="00AB4521">
        <w:rPr>
          <w:i/>
          <w:iCs/>
        </w:rPr>
        <w:t>nquête de satisfaction pharmacie</w:t>
      </w:r>
      <w:r w:rsidR="00C600E1">
        <w:rPr>
          <w:i/>
          <w:iCs/>
        </w:rPr>
        <w:t>n</w:t>
      </w:r>
      <w:r w:rsidR="00C600E1" w:rsidRPr="00AB4521">
        <w:rPr>
          <w:i/>
          <w:iCs/>
        </w:rPr>
        <w:t>/infirmier</w:t>
      </w:r>
      <w:r w:rsidR="00C600E1">
        <w:t> » et</w:t>
      </w:r>
      <w:r w:rsidR="00AB4521">
        <w:t xml:space="preserve"> « </w:t>
      </w:r>
      <w:r w:rsidR="00C600E1">
        <w:rPr>
          <w:i/>
          <w:iCs/>
        </w:rPr>
        <w:t xml:space="preserve">PR. 01.5 – </w:t>
      </w:r>
      <w:r w:rsidR="00AB4521" w:rsidRPr="00AB4521">
        <w:rPr>
          <w:i/>
          <w:iCs/>
        </w:rPr>
        <w:t>Enquête de satisfaction médecin</w:t>
      </w:r>
      <w:r w:rsidR="00AB4521">
        <w:t xml:space="preserve"> »)</w:t>
      </w:r>
    </w:p>
    <w:p w14:paraId="35293581" w14:textId="77777777" w:rsidR="00B00D58" w:rsidRDefault="00B00D58" w:rsidP="00220EE2">
      <w:pPr>
        <w:pStyle w:val="Titre1"/>
      </w:pPr>
      <w:r>
        <w:t>Évènements indésirables</w:t>
      </w:r>
    </w:p>
    <w:p w14:paraId="40F55E6B" w14:textId="714E6C6F" w:rsidR="00B00D58" w:rsidRDefault="00D97155" w:rsidP="00220EE2">
      <w:r>
        <w:t>Tout évènement indésirable doit être déclaré via la rédaction d’une fiche. La rédaction de cette fiche d’évènement indésirable peut engendrer la tenue d’une séance d’analyse de la pratique s</w:t>
      </w:r>
      <w:r w:rsidR="00220EE2">
        <w:t>i</w:t>
      </w:r>
      <w:r>
        <w:t xml:space="preserve"> les médecins généralistes le jugent nécessaire.</w:t>
      </w:r>
    </w:p>
    <w:p w14:paraId="06AF4642" w14:textId="77777777" w:rsidR="00D97155" w:rsidRDefault="00D97155" w:rsidP="00220EE2"/>
    <w:p w14:paraId="28ACD2B0" w14:textId="77777777" w:rsidR="00D97155" w:rsidRDefault="00D97155" w:rsidP="00220EE2">
      <w:r>
        <w:t xml:space="preserve">La fiche de déclaration de l’évènement indésirable est la fiche issue de l’étude </w:t>
      </w:r>
      <w:proofErr w:type="spellStart"/>
      <w:r>
        <w:t>PRisM</w:t>
      </w:r>
      <w:proofErr w:type="spellEnd"/>
      <w:r>
        <w:t xml:space="preserve"> « support d’analyse d’EI »</w:t>
      </w:r>
    </w:p>
    <w:p w14:paraId="7A9374E6" w14:textId="77777777" w:rsidR="006A65C3" w:rsidRDefault="006A65C3" w:rsidP="00220EE2"/>
    <w:p w14:paraId="4E5BFA36" w14:textId="3C23B7A0" w:rsidR="006A65C3" w:rsidRPr="00B00D58" w:rsidRDefault="006A65C3" w:rsidP="00220EE2">
      <w:pPr>
        <w:sectPr w:rsidR="006A65C3" w:rsidRPr="00B00D58" w:rsidSect="00DF5F9A">
          <w:pgSz w:w="11906" w:h="16838"/>
          <w:pgMar w:top="1417" w:right="1417" w:bottom="1417" w:left="1417" w:header="708" w:footer="708" w:gutter="0"/>
          <w:cols w:space="708"/>
          <w:docGrid w:linePitch="360"/>
        </w:sectPr>
      </w:pPr>
      <w:r>
        <w:t xml:space="preserve">Lors de l’analyse de l’évènement </w:t>
      </w:r>
      <w:r w:rsidR="0013146F">
        <w:t>indésirable,</w:t>
      </w:r>
      <w:r>
        <w:t xml:space="preserve"> l’équipe utilisera les fiches issues de l’étude </w:t>
      </w:r>
      <w:proofErr w:type="spellStart"/>
      <w:r>
        <w:t>PRisM</w:t>
      </w:r>
      <w:proofErr w:type="spellEnd"/>
      <w:r>
        <w:t xml:space="preserve"> « support de suivi des actions correctives » et le « compte rendu de comité de retour d’expérience »</w:t>
      </w:r>
    </w:p>
    <w:p w14:paraId="17BB4FC5" w14:textId="2438C708" w:rsidR="006D3BF4" w:rsidRDefault="00293269" w:rsidP="00220EE2">
      <w:pPr>
        <w:pStyle w:val="Titre"/>
      </w:pPr>
      <w:r>
        <w:lastRenderedPageBreak/>
        <w:t xml:space="preserve">Annexe 1 : critères d’exclusion </w:t>
      </w:r>
    </w:p>
    <w:p w14:paraId="6A0FA81B" w14:textId="75B0F42A" w:rsidR="00293269" w:rsidRDefault="00293269" w:rsidP="00220EE2"/>
    <w:p w14:paraId="2093DFBA" w14:textId="64FE8B37" w:rsidR="00293269" w:rsidRPr="00220EE2" w:rsidRDefault="00293269" w:rsidP="00220EE2">
      <w:pPr>
        <w:rPr>
          <w:b/>
          <w:bCs/>
          <w:u w:val="single"/>
        </w:rPr>
      </w:pPr>
      <w:r w:rsidRPr="00220EE2">
        <w:rPr>
          <w:b/>
          <w:bCs/>
          <w:u w:val="single"/>
        </w:rPr>
        <w:t>Critères</w:t>
      </w:r>
      <w:r w:rsidR="00395AF9" w:rsidRPr="00220EE2">
        <w:rPr>
          <w:b/>
          <w:bCs/>
          <w:u w:val="single"/>
        </w:rPr>
        <w:t xml:space="preserve"> </w:t>
      </w:r>
      <w:r w:rsidRPr="00220EE2">
        <w:rPr>
          <w:b/>
          <w:bCs/>
          <w:u w:val="single"/>
        </w:rPr>
        <w:t>d’</w:t>
      </w:r>
      <w:r w:rsidR="00395AF9" w:rsidRPr="00220EE2">
        <w:rPr>
          <w:b/>
          <w:bCs/>
          <w:u w:val="single"/>
        </w:rPr>
        <w:t>e</w:t>
      </w:r>
      <w:r w:rsidRPr="00220EE2">
        <w:rPr>
          <w:b/>
          <w:bCs/>
          <w:u w:val="single"/>
        </w:rPr>
        <w:t>xclusion lors de l’interrogatoire et de l’examen du dossier :</w:t>
      </w:r>
    </w:p>
    <w:p w14:paraId="3EEF6D1C" w14:textId="40DB12FC" w:rsidR="00293269" w:rsidRDefault="00293269" w:rsidP="00220EE2">
      <w:pPr>
        <w:pStyle w:val="Paragraphedeliste"/>
        <w:numPr>
          <w:ilvl w:val="0"/>
          <w:numId w:val="2"/>
        </w:numPr>
      </w:pPr>
      <w:r>
        <w:t xml:space="preserve">Age &lt;6 ans </w:t>
      </w:r>
      <w:r w:rsidR="00E67002">
        <w:t>ou</w:t>
      </w:r>
      <w:r>
        <w:t xml:space="preserve"> &gt;45 ans</w:t>
      </w:r>
    </w:p>
    <w:p w14:paraId="2C139E7F" w14:textId="51C5D2D1" w:rsidR="00293269" w:rsidRDefault="00395AF9" w:rsidP="00220EE2">
      <w:pPr>
        <w:pStyle w:val="Paragraphedeliste"/>
        <w:numPr>
          <w:ilvl w:val="0"/>
          <w:numId w:val="2"/>
        </w:numPr>
      </w:pPr>
      <w:r>
        <w:t xml:space="preserve">Durée d’évolution des </w:t>
      </w:r>
      <w:r w:rsidR="009A1D0C">
        <w:t>symptômes</w:t>
      </w:r>
      <w:r>
        <w:t xml:space="preserve"> au-delà de 8 jours </w:t>
      </w:r>
    </w:p>
    <w:p w14:paraId="4B7209BC" w14:textId="1E027165" w:rsidR="00395AF9" w:rsidRDefault="00395AF9" w:rsidP="00220EE2">
      <w:pPr>
        <w:pStyle w:val="Paragraphedeliste"/>
        <w:numPr>
          <w:ilvl w:val="0"/>
          <w:numId w:val="2"/>
        </w:numPr>
      </w:pPr>
      <w:r>
        <w:t>Retour de voyage avec fièvre dans les 2 à 5 jours</w:t>
      </w:r>
    </w:p>
    <w:p w14:paraId="5EC4E50A" w14:textId="0AD67371" w:rsidR="00395AF9" w:rsidRDefault="00395AF9" w:rsidP="00220EE2">
      <w:pPr>
        <w:pStyle w:val="Paragraphedeliste"/>
        <w:numPr>
          <w:ilvl w:val="0"/>
          <w:numId w:val="2"/>
        </w:numPr>
      </w:pPr>
      <w:r>
        <w:t>Statut vaccinal : DTP de plus de 20 ans ou non renseigné</w:t>
      </w:r>
    </w:p>
    <w:p w14:paraId="6017652E" w14:textId="0C67EC2D" w:rsidR="00395AF9" w:rsidRDefault="00395AF9" w:rsidP="00220EE2">
      <w:pPr>
        <w:pStyle w:val="Paragraphedeliste"/>
        <w:numPr>
          <w:ilvl w:val="0"/>
          <w:numId w:val="2"/>
        </w:numPr>
      </w:pPr>
      <w:r>
        <w:t>Toux</w:t>
      </w:r>
    </w:p>
    <w:p w14:paraId="09DC3791" w14:textId="75A36101" w:rsidR="00395AF9" w:rsidRDefault="009A1D0C" w:rsidP="00220EE2">
      <w:pPr>
        <w:pStyle w:val="Paragraphedeliste"/>
        <w:numPr>
          <w:ilvl w:val="0"/>
          <w:numId w:val="2"/>
        </w:numPr>
      </w:pPr>
      <w:r>
        <w:t>Éruptions</w:t>
      </w:r>
      <w:r w:rsidR="00395AF9">
        <w:t xml:space="preserve"> cutanées</w:t>
      </w:r>
    </w:p>
    <w:p w14:paraId="4410BCD6" w14:textId="0AD11882" w:rsidR="00395AF9" w:rsidRDefault="00395AF9" w:rsidP="00220EE2">
      <w:pPr>
        <w:pStyle w:val="Paragraphedeliste"/>
        <w:numPr>
          <w:ilvl w:val="0"/>
          <w:numId w:val="2"/>
        </w:numPr>
      </w:pPr>
      <w:r>
        <w:t>Fièvre &gt;39</w:t>
      </w:r>
      <w:r w:rsidR="00C44C10">
        <w:t>,5</w:t>
      </w:r>
      <w:r>
        <w:t>°C</w:t>
      </w:r>
    </w:p>
    <w:p w14:paraId="3D4D3C38" w14:textId="142FB3AB" w:rsidR="00395AF9" w:rsidRDefault="00395AF9" w:rsidP="00220EE2">
      <w:pPr>
        <w:pStyle w:val="Paragraphedeliste"/>
        <w:numPr>
          <w:ilvl w:val="0"/>
          <w:numId w:val="2"/>
        </w:numPr>
      </w:pPr>
      <w:r>
        <w:t>Troubles digestifs importants chez l’enfant (vomissements/diarrhée)</w:t>
      </w:r>
    </w:p>
    <w:p w14:paraId="050C762D" w14:textId="6B85CC00" w:rsidR="00395AF9" w:rsidRDefault="00395AF9" w:rsidP="00220EE2">
      <w:pPr>
        <w:pStyle w:val="Paragraphedeliste"/>
        <w:numPr>
          <w:ilvl w:val="0"/>
          <w:numId w:val="2"/>
        </w:numPr>
      </w:pPr>
      <w:r>
        <w:t>Grossesse avérée ou non exclue</w:t>
      </w:r>
    </w:p>
    <w:p w14:paraId="06F00C9F" w14:textId="11D7B901" w:rsidR="00395AF9" w:rsidRDefault="00395AF9" w:rsidP="00220EE2">
      <w:pPr>
        <w:pStyle w:val="Paragraphedeliste"/>
        <w:numPr>
          <w:ilvl w:val="0"/>
          <w:numId w:val="2"/>
        </w:numPr>
      </w:pPr>
      <w:r>
        <w:t xml:space="preserve">Immunodépression : due à une pathologie (VIH) ou </w:t>
      </w:r>
      <w:r w:rsidR="00C44C10">
        <w:t>à</w:t>
      </w:r>
      <w:r>
        <w:t xml:space="preserve"> un traitement (corticothérapie, immunosuppresseurs, chimiothérapie…)</w:t>
      </w:r>
    </w:p>
    <w:p w14:paraId="05F02EBA" w14:textId="671D5ADB" w:rsidR="00395AF9" w:rsidRDefault="00395AF9" w:rsidP="00220EE2">
      <w:pPr>
        <w:pStyle w:val="Paragraphedeliste"/>
        <w:numPr>
          <w:ilvl w:val="0"/>
          <w:numId w:val="2"/>
        </w:numPr>
      </w:pPr>
      <w:r>
        <w:t>Insuffisance rénale chronique DFG &lt; 30mL/min connue (selon CKD EPI)</w:t>
      </w:r>
    </w:p>
    <w:p w14:paraId="6C3364E3" w14:textId="1BE12386" w:rsidR="00395AF9" w:rsidRDefault="00395AF9" w:rsidP="00220EE2">
      <w:pPr>
        <w:pStyle w:val="Paragraphedeliste"/>
        <w:numPr>
          <w:ilvl w:val="0"/>
          <w:numId w:val="2"/>
        </w:numPr>
      </w:pPr>
      <w:r>
        <w:t>Le patient est vu pour la 2</w:t>
      </w:r>
      <w:r w:rsidRPr="00395AF9">
        <w:rPr>
          <w:vertAlign w:val="superscript"/>
        </w:rPr>
        <w:t>ème</w:t>
      </w:r>
      <w:r>
        <w:t xml:space="preserve"> fois par un pharmacien d’officine ou un infirmier diplômé d’état dans le cadre de ce protocole dans les 6 mois suivant le premier épisode </w:t>
      </w:r>
    </w:p>
    <w:p w14:paraId="6D9C3604" w14:textId="2786C777" w:rsidR="00395AF9" w:rsidRDefault="00395AF9" w:rsidP="00220EE2">
      <w:pPr>
        <w:pStyle w:val="Paragraphedeliste"/>
        <w:numPr>
          <w:ilvl w:val="0"/>
          <w:numId w:val="2"/>
        </w:numPr>
      </w:pPr>
      <w:r>
        <w:t>Antibiothérapie en cours pour un autre motif</w:t>
      </w:r>
    </w:p>
    <w:p w14:paraId="789EE503" w14:textId="05A09B14" w:rsidR="00395AF9" w:rsidRDefault="00A3056C" w:rsidP="00220EE2">
      <w:pPr>
        <w:pStyle w:val="Paragraphedeliste"/>
        <w:numPr>
          <w:ilvl w:val="0"/>
          <w:numId w:val="2"/>
        </w:numPr>
      </w:pPr>
      <w:r>
        <w:t>Épisode</w:t>
      </w:r>
      <w:r w:rsidR="00395AF9">
        <w:t xml:space="preserve"> similaire dans les 15 jours précédents</w:t>
      </w:r>
    </w:p>
    <w:p w14:paraId="2ED96F89" w14:textId="33687F4C" w:rsidR="00395AF9" w:rsidRDefault="00395AF9" w:rsidP="00220EE2"/>
    <w:p w14:paraId="4AE86864" w14:textId="43741551" w:rsidR="00395AF9" w:rsidRPr="00220EE2" w:rsidRDefault="00395AF9" w:rsidP="00220EE2">
      <w:pPr>
        <w:rPr>
          <w:b/>
          <w:bCs/>
          <w:u w:val="single"/>
        </w:rPr>
      </w:pPr>
      <w:r w:rsidRPr="00220EE2">
        <w:rPr>
          <w:b/>
          <w:bCs/>
          <w:u w:val="single"/>
        </w:rPr>
        <w:t>Critères d’exclusion lors de l’examen clinique</w:t>
      </w:r>
    </w:p>
    <w:p w14:paraId="57629D11" w14:textId="188E80B3" w:rsidR="00395AF9" w:rsidRDefault="00A3056C" w:rsidP="00220EE2">
      <w:pPr>
        <w:pStyle w:val="Paragraphedeliste"/>
        <w:numPr>
          <w:ilvl w:val="0"/>
          <w:numId w:val="2"/>
        </w:numPr>
      </w:pPr>
      <w:r>
        <w:t xml:space="preserve">Premiers signes cliniques d’exclusion : </w:t>
      </w:r>
    </w:p>
    <w:p w14:paraId="2DEC1F28" w14:textId="7D9B017B" w:rsidR="00A3056C" w:rsidRDefault="00A3056C" w:rsidP="00220EE2">
      <w:pPr>
        <w:pStyle w:val="Paragraphedeliste"/>
        <w:numPr>
          <w:ilvl w:val="1"/>
          <w:numId w:val="2"/>
        </w:numPr>
      </w:pPr>
      <w:r>
        <w:t xml:space="preserve">Angine </w:t>
      </w:r>
      <w:proofErr w:type="spellStart"/>
      <w:r>
        <w:t>ulcéro</w:t>
      </w:r>
      <w:proofErr w:type="spellEnd"/>
      <w:r>
        <w:t>-nécrotique</w:t>
      </w:r>
    </w:p>
    <w:p w14:paraId="3E94CDAF" w14:textId="0CB934F5" w:rsidR="00A3056C" w:rsidRDefault="00A3056C" w:rsidP="00220EE2">
      <w:pPr>
        <w:pStyle w:val="Paragraphedeliste"/>
        <w:numPr>
          <w:ilvl w:val="1"/>
          <w:numId w:val="2"/>
        </w:numPr>
      </w:pPr>
      <w:proofErr w:type="spellStart"/>
      <w:r>
        <w:t>Herpangine</w:t>
      </w:r>
      <w:proofErr w:type="spellEnd"/>
    </w:p>
    <w:p w14:paraId="3D711CCC" w14:textId="31B532AA" w:rsidR="00A3056C" w:rsidRDefault="00A3056C" w:rsidP="00220EE2">
      <w:pPr>
        <w:pStyle w:val="Paragraphedeliste"/>
        <w:numPr>
          <w:ilvl w:val="1"/>
          <w:numId w:val="2"/>
        </w:numPr>
      </w:pPr>
      <w:r>
        <w:t xml:space="preserve">Angine </w:t>
      </w:r>
      <w:proofErr w:type="spellStart"/>
      <w:r>
        <w:t>pseudo-membraneuse</w:t>
      </w:r>
      <w:proofErr w:type="spellEnd"/>
    </w:p>
    <w:p w14:paraId="0F6583D2" w14:textId="58D0AB22" w:rsidR="00A3056C" w:rsidRDefault="00A3056C" w:rsidP="00220EE2">
      <w:pPr>
        <w:pStyle w:val="Paragraphedeliste"/>
        <w:numPr>
          <w:ilvl w:val="1"/>
          <w:numId w:val="2"/>
        </w:numPr>
      </w:pPr>
      <w:r>
        <w:t>Altération de l’état général, fièvre &gt;39,5°C, t</w:t>
      </w:r>
      <w:r w:rsidR="00CA0E49">
        <w:t>r</w:t>
      </w:r>
      <w:r>
        <w:t>ismus</w:t>
      </w:r>
    </w:p>
    <w:p w14:paraId="27089163" w14:textId="2B13EDB2" w:rsidR="00A3056C" w:rsidRDefault="00A3056C" w:rsidP="00220EE2">
      <w:pPr>
        <w:pStyle w:val="Paragraphedeliste"/>
        <w:numPr>
          <w:ilvl w:val="1"/>
          <w:numId w:val="2"/>
        </w:numPr>
      </w:pPr>
      <w:proofErr w:type="spellStart"/>
      <w:r>
        <w:t>Hypersialorrhée</w:t>
      </w:r>
      <w:proofErr w:type="spellEnd"/>
    </w:p>
    <w:p w14:paraId="1AD3AEB9" w14:textId="127F24C0" w:rsidR="00A3056C" w:rsidRDefault="00A3056C" w:rsidP="00220EE2">
      <w:pPr>
        <w:pStyle w:val="Paragraphedeliste"/>
        <w:numPr>
          <w:ilvl w:val="0"/>
          <w:numId w:val="2"/>
        </w:numPr>
      </w:pPr>
      <w:r>
        <w:t>Signes évocateurs d’un phlegmon de l’amygdale ou d’une complication locorégionale :</w:t>
      </w:r>
    </w:p>
    <w:p w14:paraId="36686776" w14:textId="1CCD5C8A" w:rsidR="00A3056C" w:rsidRDefault="00A3056C" w:rsidP="00220EE2">
      <w:pPr>
        <w:pStyle w:val="Paragraphedeliste"/>
        <w:numPr>
          <w:ilvl w:val="1"/>
          <w:numId w:val="2"/>
        </w:numPr>
      </w:pPr>
      <w:r>
        <w:t>Déviation médiale de l’amygdale, Œdème ou voussure du voile, Luette déviée du côté sain</w:t>
      </w:r>
    </w:p>
    <w:p w14:paraId="2C8D8201" w14:textId="45A90833" w:rsidR="00A3056C" w:rsidRDefault="00A3056C" w:rsidP="00220EE2">
      <w:pPr>
        <w:pStyle w:val="Paragraphedeliste"/>
        <w:numPr>
          <w:ilvl w:val="1"/>
          <w:numId w:val="2"/>
        </w:numPr>
      </w:pPr>
      <w:r>
        <w:t>Difficultés à parler ou respirer</w:t>
      </w:r>
    </w:p>
    <w:p w14:paraId="00AC54D6" w14:textId="4E7E66E7" w:rsidR="00A3056C" w:rsidRDefault="00A3056C" w:rsidP="00220EE2">
      <w:pPr>
        <w:pStyle w:val="Paragraphedeliste"/>
        <w:numPr>
          <w:ilvl w:val="1"/>
          <w:numId w:val="2"/>
        </w:numPr>
      </w:pPr>
      <w:r>
        <w:t>Cervicalgie concomitante (torticolis)</w:t>
      </w:r>
    </w:p>
    <w:p w14:paraId="623E88FA" w14:textId="7E0066BB" w:rsidR="00A3056C" w:rsidRDefault="00A3056C" w:rsidP="00220EE2">
      <w:pPr>
        <w:pStyle w:val="Paragraphedeliste"/>
        <w:numPr>
          <w:ilvl w:val="0"/>
          <w:numId w:val="2"/>
        </w:numPr>
      </w:pPr>
      <w:r>
        <w:t xml:space="preserve">Constantes altérées : </w:t>
      </w:r>
    </w:p>
    <w:p w14:paraId="70720659" w14:textId="67F4C683" w:rsidR="00A3056C" w:rsidRDefault="00A3056C" w:rsidP="00220EE2">
      <w:pPr>
        <w:pStyle w:val="Paragraphedeliste"/>
        <w:numPr>
          <w:ilvl w:val="1"/>
          <w:numId w:val="2"/>
        </w:numPr>
      </w:pPr>
      <w:r>
        <w:t>Tachycardie &gt;110/min</w:t>
      </w:r>
    </w:p>
    <w:p w14:paraId="34706F6D" w14:textId="6B14F911" w:rsidR="00A3056C" w:rsidRDefault="00A3056C" w:rsidP="00220EE2">
      <w:pPr>
        <w:pStyle w:val="Paragraphedeliste"/>
        <w:numPr>
          <w:ilvl w:val="1"/>
          <w:numId w:val="2"/>
        </w:numPr>
      </w:pPr>
      <w:r>
        <w:t>Fréquence respiratoire &gt; 20/min</w:t>
      </w:r>
    </w:p>
    <w:p w14:paraId="1EA4044E" w14:textId="3A8A884F" w:rsidR="00A3056C" w:rsidRDefault="00A3056C" w:rsidP="00220EE2">
      <w:pPr>
        <w:pStyle w:val="Paragraphedeliste"/>
        <w:numPr>
          <w:ilvl w:val="1"/>
          <w:numId w:val="2"/>
        </w:numPr>
      </w:pPr>
      <w:r>
        <w:t xml:space="preserve">Tension artérielle &lt;90/60 </w:t>
      </w:r>
      <w:proofErr w:type="spellStart"/>
      <w:r>
        <w:t>mmHg</w:t>
      </w:r>
      <w:proofErr w:type="spellEnd"/>
    </w:p>
    <w:p w14:paraId="6F9BFF96" w14:textId="0A5671A9" w:rsidR="00A3056C" w:rsidRDefault="00A3056C" w:rsidP="00220EE2"/>
    <w:p w14:paraId="31531A3E" w14:textId="1C352658" w:rsidR="00A3056C" w:rsidRPr="00220EE2" w:rsidRDefault="00A3056C" w:rsidP="00220EE2">
      <w:pPr>
        <w:rPr>
          <w:b/>
          <w:bCs/>
          <w:u w:val="single"/>
        </w:rPr>
      </w:pPr>
      <w:r w:rsidRPr="00220EE2">
        <w:rPr>
          <w:b/>
          <w:bCs/>
          <w:u w:val="single"/>
        </w:rPr>
        <w:t xml:space="preserve">Critères d’exclusion durant la prise en charge </w:t>
      </w:r>
    </w:p>
    <w:p w14:paraId="3E0CB99D" w14:textId="6ECAD946" w:rsidR="00A3056C" w:rsidRDefault="00A3056C" w:rsidP="00220EE2">
      <w:pPr>
        <w:pStyle w:val="Paragraphedeliste"/>
        <w:numPr>
          <w:ilvl w:val="0"/>
          <w:numId w:val="2"/>
        </w:numPr>
      </w:pPr>
      <w:r>
        <w:t>Le patient ou son représentant légal refuse le protocole</w:t>
      </w:r>
    </w:p>
    <w:p w14:paraId="734FCD3E" w14:textId="5C763988" w:rsidR="004344C2" w:rsidRDefault="00A3056C" w:rsidP="00220EE2">
      <w:pPr>
        <w:pStyle w:val="Paragraphedeliste"/>
        <w:numPr>
          <w:ilvl w:val="0"/>
          <w:numId w:val="2"/>
        </w:numPr>
      </w:pPr>
      <w:r>
        <w:t xml:space="preserve">Doute de </w:t>
      </w:r>
      <w:r w:rsidR="00220EE2">
        <w:t>l’IDE</w:t>
      </w:r>
      <w:r>
        <w:t xml:space="preserve"> ou du pharmacien d’officine au cours de la prise en charge</w:t>
      </w:r>
    </w:p>
    <w:p w14:paraId="294F9C1C" w14:textId="77777777" w:rsidR="004344C2" w:rsidRDefault="004344C2" w:rsidP="00220EE2">
      <w:r>
        <w:br w:type="page"/>
      </w:r>
    </w:p>
    <w:p w14:paraId="1EAEF9BC" w14:textId="77777777" w:rsidR="002275B8" w:rsidRDefault="002275B8" w:rsidP="00220EE2">
      <w:pPr>
        <w:pStyle w:val="Titre"/>
        <w:sectPr w:rsidR="002275B8" w:rsidSect="00B0274F">
          <w:pgSz w:w="11906" w:h="16838"/>
          <w:pgMar w:top="1417" w:right="1417" w:bottom="1417" w:left="1417" w:header="708" w:footer="708" w:gutter="0"/>
          <w:cols w:space="708"/>
          <w:docGrid w:linePitch="360"/>
        </w:sectPr>
      </w:pPr>
    </w:p>
    <w:p w14:paraId="718C4FC5" w14:textId="7A9419CE" w:rsidR="004344C2" w:rsidRDefault="004344C2" w:rsidP="00220EE2">
      <w:pPr>
        <w:pStyle w:val="Titre"/>
      </w:pPr>
      <w:r>
        <w:lastRenderedPageBreak/>
        <w:t>Annexe 2 : tableau des indicateurs</w:t>
      </w:r>
    </w:p>
    <w:tbl>
      <w:tblPr>
        <w:tblStyle w:val="Grilledutableau"/>
        <w:tblW w:w="14126" w:type="dxa"/>
        <w:tblLook w:val="04A0" w:firstRow="1" w:lastRow="0" w:firstColumn="1" w:lastColumn="0" w:noHBand="0" w:noVBand="1"/>
      </w:tblPr>
      <w:tblGrid>
        <w:gridCol w:w="693"/>
        <w:gridCol w:w="21"/>
        <w:gridCol w:w="2040"/>
        <w:gridCol w:w="104"/>
        <w:gridCol w:w="1881"/>
        <w:gridCol w:w="203"/>
        <w:gridCol w:w="4926"/>
        <w:gridCol w:w="159"/>
        <w:gridCol w:w="1935"/>
        <w:gridCol w:w="63"/>
        <w:gridCol w:w="2101"/>
      </w:tblGrid>
      <w:tr w:rsidR="00A24106" w14:paraId="1B794944" w14:textId="77777777" w:rsidTr="00A433AA">
        <w:trPr>
          <w:trHeight w:val="873"/>
        </w:trPr>
        <w:tc>
          <w:tcPr>
            <w:tcW w:w="693" w:type="dxa"/>
          </w:tcPr>
          <w:p w14:paraId="4734D96A" w14:textId="0FDBACE8" w:rsidR="004344C2" w:rsidRDefault="004344C2" w:rsidP="00220EE2"/>
        </w:tc>
        <w:tc>
          <w:tcPr>
            <w:tcW w:w="2061" w:type="dxa"/>
            <w:gridSpan w:val="2"/>
            <w:vAlign w:val="center"/>
          </w:tcPr>
          <w:p w14:paraId="51858D73" w14:textId="10F7DCBB" w:rsidR="004344C2" w:rsidRPr="00220EE2" w:rsidRDefault="004344C2" w:rsidP="00220EE2">
            <w:pPr>
              <w:jc w:val="center"/>
              <w:rPr>
                <w:b/>
                <w:bCs/>
              </w:rPr>
            </w:pPr>
            <w:r w:rsidRPr="00220EE2">
              <w:rPr>
                <w:b/>
                <w:bCs/>
              </w:rPr>
              <w:t>Libellé de l’indicateur</w:t>
            </w:r>
          </w:p>
        </w:tc>
        <w:tc>
          <w:tcPr>
            <w:tcW w:w="1985" w:type="dxa"/>
            <w:gridSpan w:val="2"/>
            <w:vAlign w:val="center"/>
          </w:tcPr>
          <w:p w14:paraId="0B905BBB" w14:textId="3ACA8493" w:rsidR="004344C2" w:rsidRPr="00220EE2" w:rsidRDefault="004344C2" w:rsidP="00220EE2">
            <w:pPr>
              <w:jc w:val="center"/>
              <w:rPr>
                <w:b/>
                <w:bCs/>
              </w:rPr>
            </w:pPr>
            <w:r w:rsidRPr="00220EE2">
              <w:rPr>
                <w:b/>
                <w:bCs/>
              </w:rPr>
              <w:t>Objectif quantifié</w:t>
            </w:r>
          </w:p>
        </w:tc>
        <w:tc>
          <w:tcPr>
            <w:tcW w:w="5288" w:type="dxa"/>
            <w:gridSpan w:val="3"/>
            <w:vAlign w:val="center"/>
          </w:tcPr>
          <w:p w14:paraId="3C1BDE70" w14:textId="70D92D6B" w:rsidR="004344C2" w:rsidRPr="00220EE2" w:rsidRDefault="004344C2" w:rsidP="00220EE2">
            <w:pPr>
              <w:jc w:val="center"/>
              <w:rPr>
                <w:b/>
                <w:bCs/>
              </w:rPr>
            </w:pPr>
            <w:r w:rsidRPr="00220EE2">
              <w:rPr>
                <w:b/>
                <w:bCs/>
              </w:rPr>
              <w:t>Opération à réaliser</w:t>
            </w:r>
          </w:p>
        </w:tc>
        <w:tc>
          <w:tcPr>
            <w:tcW w:w="1998" w:type="dxa"/>
            <w:gridSpan w:val="2"/>
            <w:vAlign w:val="center"/>
          </w:tcPr>
          <w:p w14:paraId="35A77B1A" w14:textId="3E89F1E5" w:rsidR="00AF3240" w:rsidRPr="00220EE2" w:rsidRDefault="004344C2" w:rsidP="00220EE2">
            <w:pPr>
              <w:jc w:val="center"/>
              <w:rPr>
                <w:b/>
                <w:bCs/>
              </w:rPr>
            </w:pPr>
            <w:r w:rsidRPr="00220EE2">
              <w:rPr>
                <w:b/>
                <w:bCs/>
              </w:rPr>
              <w:t>Seuil d’alerte</w:t>
            </w:r>
          </w:p>
          <w:p w14:paraId="14314FCC" w14:textId="7526B719" w:rsidR="004344C2" w:rsidRPr="00220EE2" w:rsidRDefault="004344C2" w:rsidP="00220EE2">
            <w:pPr>
              <w:jc w:val="center"/>
              <w:rPr>
                <w:b/>
                <w:bCs/>
              </w:rPr>
            </w:pPr>
            <w:r w:rsidRPr="00220EE2">
              <w:rPr>
                <w:b/>
                <w:bCs/>
              </w:rPr>
              <w:t>(</w:t>
            </w:r>
            <w:r w:rsidR="00AF3240" w:rsidRPr="00220EE2">
              <w:rPr>
                <w:b/>
                <w:bCs/>
              </w:rPr>
              <w:t>S</w:t>
            </w:r>
            <w:r w:rsidRPr="00220EE2">
              <w:rPr>
                <w:b/>
                <w:bCs/>
              </w:rPr>
              <w:t>i différent de l’objectif)</w:t>
            </w:r>
          </w:p>
        </w:tc>
        <w:tc>
          <w:tcPr>
            <w:tcW w:w="2101" w:type="dxa"/>
            <w:vAlign w:val="center"/>
          </w:tcPr>
          <w:p w14:paraId="42CF082C" w14:textId="28B431B7" w:rsidR="004344C2" w:rsidRPr="00220EE2" w:rsidRDefault="004344C2" w:rsidP="00220EE2">
            <w:pPr>
              <w:jc w:val="center"/>
              <w:rPr>
                <w:b/>
                <w:bCs/>
              </w:rPr>
            </w:pPr>
            <w:r w:rsidRPr="00220EE2">
              <w:rPr>
                <w:b/>
                <w:bCs/>
              </w:rPr>
              <w:t>Commentaire</w:t>
            </w:r>
          </w:p>
        </w:tc>
      </w:tr>
      <w:tr w:rsidR="00A24106" w14:paraId="170AB894" w14:textId="77777777" w:rsidTr="00A433AA">
        <w:trPr>
          <w:trHeight w:val="2339"/>
        </w:trPr>
        <w:tc>
          <w:tcPr>
            <w:tcW w:w="693" w:type="dxa"/>
            <w:vMerge w:val="restart"/>
            <w:textDirection w:val="btLr"/>
            <w:vAlign w:val="center"/>
          </w:tcPr>
          <w:p w14:paraId="78E0B0E9" w14:textId="3C3AA194" w:rsidR="004344C2" w:rsidRPr="00741F25" w:rsidRDefault="004344C2" w:rsidP="00220EE2">
            <w:pPr>
              <w:jc w:val="center"/>
              <w:rPr>
                <w:sz w:val="21"/>
                <w:szCs w:val="21"/>
              </w:rPr>
            </w:pPr>
            <w:r w:rsidRPr="00741F25">
              <w:rPr>
                <w:sz w:val="21"/>
                <w:szCs w:val="21"/>
              </w:rPr>
              <w:t>Activité</w:t>
            </w:r>
          </w:p>
        </w:tc>
        <w:tc>
          <w:tcPr>
            <w:tcW w:w="2061" w:type="dxa"/>
            <w:gridSpan w:val="2"/>
            <w:vAlign w:val="center"/>
          </w:tcPr>
          <w:p w14:paraId="5EEFC02C" w14:textId="6667F423" w:rsidR="004344C2" w:rsidRPr="00741F25" w:rsidRDefault="002275B8" w:rsidP="00220EE2">
            <w:pPr>
              <w:rPr>
                <w:sz w:val="21"/>
                <w:szCs w:val="21"/>
              </w:rPr>
            </w:pPr>
            <w:r w:rsidRPr="00741F25">
              <w:rPr>
                <w:sz w:val="21"/>
                <w:szCs w:val="21"/>
              </w:rPr>
              <w:t>Taux d’inclusion des patients éligibles au protocole (dans la période d’étude)</w:t>
            </w:r>
          </w:p>
        </w:tc>
        <w:tc>
          <w:tcPr>
            <w:tcW w:w="1985" w:type="dxa"/>
            <w:gridSpan w:val="2"/>
            <w:vAlign w:val="center"/>
          </w:tcPr>
          <w:p w14:paraId="2EAC369F" w14:textId="4C53FE87" w:rsidR="004344C2" w:rsidRPr="00741F25" w:rsidRDefault="002275B8" w:rsidP="00220EE2">
            <w:pPr>
              <w:rPr>
                <w:sz w:val="21"/>
                <w:szCs w:val="21"/>
              </w:rPr>
            </w:pPr>
            <w:r w:rsidRPr="00741F25">
              <w:rPr>
                <w:sz w:val="21"/>
                <w:szCs w:val="21"/>
              </w:rPr>
              <w:t>Tendre vers 100%</w:t>
            </w:r>
          </w:p>
        </w:tc>
        <w:tc>
          <w:tcPr>
            <w:tcW w:w="5288" w:type="dxa"/>
            <w:gridSpan w:val="3"/>
            <w:vAlign w:val="center"/>
          </w:tcPr>
          <w:p w14:paraId="1FB8350D" w14:textId="70A64F91" w:rsidR="004344C2" w:rsidRPr="00A24106" w:rsidRDefault="00323535" w:rsidP="00220EE2">
            <m:oMathPara>
              <m:oMath>
                <m:box>
                  <m:boxPr>
                    <m:ctrlPr>
                      <w:rPr>
                        <w:rFonts w:ascii="Cambria Math" w:hAnsi="Cambria Math"/>
                      </w:rPr>
                    </m:ctrlPr>
                  </m:boxPr>
                  <m:e>
                    <m:argPr>
                      <m:argSz m:val="-1"/>
                    </m:argPr>
                    <m:f>
                      <m:fPr>
                        <m:ctrlPr>
                          <w:rPr>
                            <w:rFonts w:ascii="Cambria Math" w:hAnsi="Cambria Math"/>
                          </w:rPr>
                        </m:ctrlPr>
                      </m:fPr>
                      <m:num>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é</m:t>
                        </m:r>
                        <m:r>
                          <w:rPr>
                            <w:rFonts w:ascii="Cambria Math" w:hAnsi="Cambria Math"/>
                          </w:rPr>
                          <m:t>ligibles</m:t>
                        </m:r>
                        <m:r>
                          <m:rPr>
                            <m:sty m:val="p"/>
                          </m:rPr>
                          <w:rPr>
                            <w:rFonts w:ascii="Cambria Math" w:hAnsi="Cambria Math"/>
                          </w:rPr>
                          <m:t xml:space="preserve"> </m:t>
                        </m:r>
                        <m:r>
                          <w:rPr>
                            <w:rFonts w:ascii="Cambria Math" w:hAnsi="Cambria Math"/>
                          </w:rPr>
                          <m:t>inclus</m:t>
                        </m:r>
                        <m:r>
                          <m:rPr>
                            <m:sty m:val="p"/>
                          </m:rPr>
                          <w:rPr>
                            <w:rFonts w:ascii="Cambria Math" w:hAnsi="Cambria Math"/>
                          </w:rPr>
                          <m:t xml:space="preserve"> </m:t>
                        </m:r>
                        <m:r>
                          <w:rPr>
                            <w:rFonts w:ascii="Cambria Math" w:hAnsi="Cambria Math"/>
                          </w:rPr>
                          <m:t>dans</m:t>
                        </m:r>
                        <m:r>
                          <m:rPr>
                            <m:sty m:val="p"/>
                          </m:rPr>
                          <w:rPr>
                            <w:rFonts w:ascii="Cambria Math" w:hAnsi="Cambria Math"/>
                          </w:rPr>
                          <m:t xml:space="preserve"> </m:t>
                        </m:r>
                        <m:r>
                          <w:rPr>
                            <w:rFonts w:ascii="Cambria Math" w:hAnsi="Cambria Math"/>
                          </w:rPr>
                          <m:t>le</m:t>
                        </m:r>
                        <m:r>
                          <m:rPr>
                            <m:sty m:val="p"/>
                          </m:rPr>
                          <w:rPr>
                            <w:rFonts w:ascii="Cambria Math" w:hAnsi="Cambria Math"/>
                          </w:rPr>
                          <m:t xml:space="preserve"> </m:t>
                        </m:r>
                        <m:r>
                          <w:rPr>
                            <w:rFonts w:ascii="Cambria Math" w:hAnsi="Cambria Math"/>
                          </w:rPr>
                          <m:t>protocole</m:t>
                        </m:r>
                      </m:num>
                      <m:den>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é</m:t>
                        </m:r>
                        <m:r>
                          <w:rPr>
                            <w:rFonts w:ascii="Cambria Math" w:hAnsi="Cambria Math"/>
                          </w:rPr>
                          <m:t>ligibles</m:t>
                        </m:r>
                      </m:den>
                    </m:f>
                  </m:e>
                </m:box>
              </m:oMath>
            </m:oMathPara>
          </w:p>
        </w:tc>
        <w:tc>
          <w:tcPr>
            <w:tcW w:w="1998" w:type="dxa"/>
            <w:gridSpan w:val="2"/>
            <w:vAlign w:val="center"/>
          </w:tcPr>
          <w:p w14:paraId="78D7EB8B" w14:textId="77777777" w:rsidR="004344C2" w:rsidRPr="00741F25" w:rsidRDefault="004344C2" w:rsidP="00220EE2">
            <w:pPr>
              <w:rPr>
                <w:sz w:val="21"/>
                <w:szCs w:val="21"/>
              </w:rPr>
            </w:pPr>
          </w:p>
        </w:tc>
        <w:tc>
          <w:tcPr>
            <w:tcW w:w="2101" w:type="dxa"/>
            <w:vAlign w:val="center"/>
          </w:tcPr>
          <w:p w14:paraId="5D49882F" w14:textId="7E88D6C9" w:rsidR="004344C2" w:rsidRPr="00741F25" w:rsidRDefault="002275B8" w:rsidP="00220EE2">
            <w:pPr>
              <w:rPr>
                <w:sz w:val="21"/>
                <w:szCs w:val="21"/>
              </w:rPr>
            </w:pPr>
            <w:r w:rsidRPr="00741F25">
              <w:rPr>
                <w:sz w:val="21"/>
                <w:szCs w:val="21"/>
              </w:rPr>
              <w:t xml:space="preserve">Analyse les causes de refus pour réduire les </w:t>
            </w:r>
            <w:r w:rsidR="00220EE2" w:rsidRPr="00741F25">
              <w:rPr>
                <w:sz w:val="21"/>
                <w:szCs w:val="21"/>
              </w:rPr>
              <w:t>non-inclusions</w:t>
            </w:r>
            <w:r w:rsidRPr="00741F25">
              <w:rPr>
                <w:sz w:val="21"/>
                <w:szCs w:val="21"/>
              </w:rPr>
              <w:t xml:space="preserve"> pour refus</w:t>
            </w:r>
          </w:p>
          <w:p w14:paraId="0E7419B4" w14:textId="02F651C3" w:rsidR="002275B8" w:rsidRPr="00741F25" w:rsidRDefault="002275B8" w:rsidP="00220EE2">
            <w:pPr>
              <w:rPr>
                <w:sz w:val="21"/>
                <w:szCs w:val="21"/>
              </w:rPr>
            </w:pPr>
            <w:r w:rsidRPr="00741F25">
              <w:rPr>
                <w:sz w:val="21"/>
                <w:szCs w:val="21"/>
              </w:rPr>
              <w:t>(</w:t>
            </w:r>
            <w:proofErr w:type="gramStart"/>
            <w:r w:rsidRPr="00741F25">
              <w:rPr>
                <w:sz w:val="21"/>
                <w:szCs w:val="21"/>
              </w:rPr>
              <w:t>le</w:t>
            </w:r>
            <w:proofErr w:type="gramEnd"/>
            <w:r w:rsidRPr="00741F25">
              <w:rPr>
                <w:sz w:val="21"/>
                <w:szCs w:val="21"/>
              </w:rPr>
              <w:t xml:space="preserve"> refus initial n’est pas un indicateur de satisfaction</w:t>
            </w:r>
          </w:p>
        </w:tc>
      </w:tr>
      <w:tr w:rsidR="00A24106" w14:paraId="242CF621" w14:textId="77777777" w:rsidTr="00A433AA">
        <w:trPr>
          <w:trHeight w:val="295"/>
        </w:trPr>
        <w:tc>
          <w:tcPr>
            <w:tcW w:w="693" w:type="dxa"/>
            <w:vMerge/>
            <w:vAlign w:val="center"/>
          </w:tcPr>
          <w:p w14:paraId="310DD427" w14:textId="77777777" w:rsidR="002275B8" w:rsidRPr="00741F25" w:rsidRDefault="002275B8" w:rsidP="00220EE2">
            <w:pPr>
              <w:rPr>
                <w:sz w:val="21"/>
                <w:szCs w:val="21"/>
              </w:rPr>
            </w:pPr>
          </w:p>
        </w:tc>
        <w:tc>
          <w:tcPr>
            <w:tcW w:w="2061" w:type="dxa"/>
            <w:gridSpan w:val="2"/>
            <w:vAlign w:val="center"/>
          </w:tcPr>
          <w:p w14:paraId="7A90B21C" w14:textId="31F55A9A" w:rsidR="002275B8" w:rsidRPr="00741F25" w:rsidRDefault="002275B8" w:rsidP="00220EE2">
            <w:pPr>
              <w:rPr>
                <w:sz w:val="21"/>
                <w:szCs w:val="21"/>
              </w:rPr>
            </w:pPr>
            <w:r w:rsidRPr="00741F25">
              <w:rPr>
                <w:sz w:val="21"/>
                <w:szCs w:val="21"/>
              </w:rPr>
              <w:t>Taux de consultation du médecin généraliste</w:t>
            </w:r>
          </w:p>
        </w:tc>
        <w:tc>
          <w:tcPr>
            <w:tcW w:w="1985" w:type="dxa"/>
            <w:gridSpan w:val="2"/>
            <w:vAlign w:val="center"/>
          </w:tcPr>
          <w:p w14:paraId="1C0DC320" w14:textId="77777777" w:rsidR="002275B8" w:rsidRPr="00741F25" w:rsidRDefault="002275B8" w:rsidP="00220EE2">
            <w:pPr>
              <w:rPr>
                <w:sz w:val="21"/>
                <w:szCs w:val="21"/>
              </w:rPr>
            </w:pPr>
          </w:p>
        </w:tc>
        <w:tc>
          <w:tcPr>
            <w:tcW w:w="5288" w:type="dxa"/>
            <w:gridSpan w:val="3"/>
            <w:vAlign w:val="center"/>
          </w:tcPr>
          <w:p w14:paraId="57036C47" w14:textId="09760FC8" w:rsidR="002275B8" w:rsidRPr="00A24106" w:rsidRDefault="00323535" w:rsidP="00220EE2">
            <m:oMathPara>
              <m:oMath>
                <m:box>
                  <m:boxPr>
                    <m:ctrlPr>
                      <w:rPr>
                        <w:rFonts w:ascii="Cambria Math" w:hAnsi="Cambria Math"/>
                      </w:rPr>
                    </m:ctrlPr>
                  </m:boxPr>
                  <m:e>
                    <m:argPr>
                      <m:argSz m:val="-1"/>
                    </m:argPr>
                    <m:f>
                      <m:fPr>
                        <m:ctrlPr>
                          <w:rPr>
                            <w:rFonts w:ascii="Cambria Math" w:hAnsi="Cambria Math"/>
                          </w:rPr>
                        </m:ctrlPr>
                      </m:fPr>
                      <m:num>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consultation</m:t>
                        </m:r>
                        <m:r>
                          <m:rPr>
                            <m:sty m:val="p"/>
                          </m:rPr>
                          <w:rPr>
                            <w:rFonts w:ascii="Cambria Math" w:hAnsi="Cambria Math"/>
                          </w:rPr>
                          <m:t xml:space="preserve"> </m:t>
                        </m:r>
                        <m:r>
                          <w:rPr>
                            <w:rFonts w:ascii="Cambria Math" w:hAnsi="Cambria Math"/>
                          </w:rPr>
                          <m:t>par</m:t>
                        </m:r>
                        <m:r>
                          <m:rPr>
                            <m:sty m:val="p"/>
                          </m:rPr>
                          <w:rPr>
                            <w:rFonts w:ascii="Cambria Math" w:hAnsi="Cambria Math"/>
                          </w:rPr>
                          <m:t xml:space="preserve"> </m:t>
                        </m:r>
                        <m:r>
                          <w:rPr>
                            <w:rFonts w:ascii="Cambria Math" w:hAnsi="Cambria Math"/>
                          </w:rPr>
                          <m:t>le</m:t>
                        </m:r>
                        <m:r>
                          <m:rPr>
                            <m:sty m:val="p"/>
                          </m:rPr>
                          <w:rPr>
                            <w:rFonts w:ascii="Cambria Math" w:hAnsi="Cambria Math"/>
                          </w:rPr>
                          <m:t xml:space="preserve"> </m:t>
                        </m:r>
                        <m:r>
                          <w:rPr>
                            <w:rFonts w:ascii="Cambria Math" w:hAnsi="Cambria Math"/>
                          </w:rPr>
                          <m:t>m</m:t>
                        </m:r>
                        <m:r>
                          <m:rPr>
                            <m:sty m:val="p"/>
                          </m:rPr>
                          <w:rPr>
                            <w:rFonts w:ascii="Cambria Math" w:hAnsi="Cambria Math"/>
                          </w:rPr>
                          <m:t>é</m:t>
                        </m:r>
                        <m:r>
                          <w:rPr>
                            <w:rFonts w:ascii="Cambria Math" w:hAnsi="Cambria Math"/>
                          </w:rPr>
                          <m:t>decin</m:t>
                        </m:r>
                        <m:r>
                          <m:rPr>
                            <m:sty m:val="p"/>
                          </m:rPr>
                          <w:rPr>
                            <w:rFonts w:ascii="Cambria Math" w:hAnsi="Cambria Math"/>
                          </w:rPr>
                          <m:t xml:space="preserve"> </m:t>
                        </m:r>
                        <m:r>
                          <w:rPr>
                            <w:rFonts w:ascii="Cambria Math" w:hAnsi="Cambria Math"/>
                          </w:rPr>
                          <m:t>g</m:t>
                        </m:r>
                        <m:r>
                          <m:rPr>
                            <m:sty m:val="p"/>
                          </m:rPr>
                          <w:rPr>
                            <w:rFonts w:ascii="Cambria Math" w:hAnsi="Cambria Math"/>
                          </w:rPr>
                          <m:t>é</m:t>
                        </m:r>
                        <m:r>
                          <w:rPr>
                            <w:rFonts w:ascii="Cambria Math" w:hAnsi="Cambria Math"/>
                          </w:rPr>
                          <m:t>n</m:t>
                        </m:r>
                        <m:r>
                          <m:rPr>
                            <m:sty m:val="p"/>
                          </m:rPr>
                          <w:rPr>
                            <w:rFonts w:ascii="Cambria Math" w:hAnsi="Cambria Math"/>
                          </w:rPr>
                          <m:t>é</m:t>
                        </m:r>
                        <m:r>
                          <w:rPr>
                            <w:rFonts w:ascii="Cambria Math" w:hAnsi="Cambria Math"/>
                          </w:rPr>
                          <m:t>raliste</m:t>
                        </m:r>
                      </m:num>
                      <m:den>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consultations</m:t>
                        </m:r>
                        <m:r>
                          <m:rPr>
                            <m:sty m:val="p"/>
                          </m:rPr>
                          <w:rPr>
                            <w:rFonts w:ascii="Cambria Math" w:hAnsi="Cambria Math"/>
                          </w:rPr>
                          <m:t xml:space="preserve"> </m:t>
                        </m:r>
                        <m:r>
                          <w:rPr>
                            <w:rFonts w:ascii="Cambria Math" w:hAnsi="Cambria Math"/>
                          </w:rPr>
                          <m:t>totales</m:t>
                        </m:r>
                      </m:den>
                    </m:f>
                  </m:e>
                </m:box>
              </m:oMath>
            </m:oMathPara>
          </w:p>
        </w:tc>
        <w:tc>
          <w:tcPr>
            <w:tcW w:w="1998" w:type="dxa"/>
            <w:gridSpan w:val="2"/>
            <w:vAlign w:val="center"/>
          </w:tcPr>
          <w:p w14:paraId="395DCED6" w14:textId="77777777" w:rsidR="002275B8" w:rsidRPr="00741F25" w:rsidRDefault="002275B8" w:rsidP="00220EE2">
            <w:pPr>
              <w:rPr>
                <w:sz w:val="21"/>
                <w:szCs w:val="21"/>
              </w:rPr>
            </w:pPr>
          </w:p>
        </w:tc>
        <w:tc>
          <w:tcPr>
            <w:tcW w:w="2101" w:type="dxa"/>
            <w:vAlign w:val="center"/>
          </w:tcPr>
          <w:p w14:paraId="5ED4C8EC" w14:textId="3CB664B4" w:rsidR="002275B8" w:rsidRPr="00741F25" w:rsidRDefault="002275B8" w:rsidP="00220EE2">
            <w:pPr>
              <w:rPr>
                <w:sz w:val="21"/>
                <w:szCs w:val="21"/>
              </w:rPr>
            </w:pPr>
            <w:r w:rsidRPr="00741F25">
              <w:rPr>
                <w:sz w:val="21"/>
                <w:szCs w:val="21"/>
              </w:rPr>
              <w:t>Objectif à définir</w:t>
            </w:r>
          </w:p>
        </w:tc>
      </w:tr>
      <w:tr w:rsidR="00A24106" w14:paraId="70B5B018" w14:textId="77777777" w:rsidTr="00A433AA">
        <w:trPr>
          <w:trHeight w:val="295"/>
        </w:trPr>
        <w:tc>
          <w:tcPr>
            <w:tcW w:w="693" w:type="dxa"/>
            <w:vMerge w:val="restart"/>
            <w:textDirection w:val="btLr"/>
            <w:vAlign w:val="center"/>
          </w:tcPr>
          <w:p w14:paraId="7E7D083D" w14:textId="5CE15F8B" w:rsidR="002275B8" w:rsidRPr="00741F25" w:rsidRDefault="002275B8" w:rsidP="00220EE2">
            <w:pPr>
              <w:jc w:val="center"/>
              <w:rPr>
                <w:sz w:val="21"/>
                <w:szCs w:val="21"/>
              </w:rPr>
            </w:pPr>
            <w:r w:rsidRPr="00741F25">
              <w:rPr>
                <w:sz w:val="21"/>
                <w:szCs w:val="21"/>
              </w:rPr>
              <w:t>Qualité</w:t>
            </w:r>
          </w:p>
        </w:tc>
        <w:tc>
          <w:tcPr>
            <w:tcW w:w="2061" w:type="dxa"/>
            <w:gridSpan w:val="2"/>
            <w:vAlign w:val="center"/>
          </w:tcPr>
          <w:p w14:paraId="1DB20E2A" w14:textId="1588DFCF" w:rsidR="002275B8" w:rsidRPr="00741F25" w:rsidRDefault="002275B8" w:rsidP="00220EE2">
            <w:pPr>
              <w:rPr>
                <w:sz w:val="21"/>
                <w:szCs w:val="21"/>
              </w:rPr>
            </w:pPr>
            <w:r w:rsidRPr="00741F25">
              <w:rPr>
                <w:sz w:val="21"/>
                <w:szCs w:val="21"/>
              </w:rPr>
              <w:t>Taux de reprise du suivi par le médecin généraliste (hors présence d’un critère d’exclusion initial</w:t>
            </w:r>
          </w:p>
        </w:tc>
        <w:tc>
          <w:tcPr>
            <w:tcW w:w="1985" w:type="dxa"/>
            <w:gridSpan w:val="2"/>
            <w:vAlign w:val="center"/>
          </w:tcPr>
          <w:p w14:paraId="52D61A6D" w14:textId="03C589E7" w:rsidR="002275B8" w:rsidRPr="00741F25" w:rsidRDefault="002275B8" w:rsidP="00220EE2">
            <w:pPr>
              <w:rPr>
                <w:sz w:val="21"/>
                <w:szCs w:val="21"/>
              </w:rPr>
            </w:pPr>
            <w:r w:rsidRPr="00741F25">
              <w:rPr>
                <w:sz w:val="21"/>
                <w:szCs w:val="21"/>
              </w:rPr>
              <w:t>Tendre vers 0%</w:t>
            </w:r>
          </w:p>
        </w:tc>
        <w:tc>
          <w:tcPr>
            <w:tcW w:w="5288" w:type="dxa"/>
            <w:gridSpan w:val="3"/>
            <w:vAlign w:val="center"/>
          </w:tcPr>
          <w:p w14:paraId="7AC0B823" w14:textId="3167053C" w:rsidR="002275B8" w:rsidRPr="00A24106" w:rsidRDefault="00323535" w:rsidP="00220EE2">
            <w:pPr>
              <w:rPr>
                <w:rFonts w:ascii="Calibri" w:eastAsia="Calibri" w:hAnsi="Calibri" w:cs="Times New Roman"/>
              </w:rPr>
            </w:pPr>
            <m:oMathPara>
              <m:oMath>
                <m:box>
                  <m:boxPr>
                    <m:ctrlPr>
                      <w:rPr>
                        <w:rFonts w:ascii="Cambria Math" w:hAnsi="Cambria Math"/>
                      </w:rPr>
                    </m:ctrlPr>
                  </m:boxPr>
                  <m:e>
                    <m:argPr>
                      <m:argSz m:val="-1"/>
                    </m:argPr>
                    <m:f>
                      <m:fPr>
                        <m:ctrlPr>
                          <w:rPr>
                            <w:rFonts w:ascii="Cambria Math" w:hAnsi="Cambria Math"/>
                          </w:rPr>
                        </m:ctrlPr>
                      </m:fPr>
                      <m:num>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sortis</m:t>
                        </m:r>
                        <m:r>
                          <m:rPr>
                            <m:sty m:val="p"/>
                          </m:rPr>
                          <w:rPr>
                            <w:rFonts w:ascii="Cambria Math" w:hAnsi="Cambria Math"/>
                          </w:rPr>
                          <m:t xml:space="preserve"> </m:t>
                        </m:r>
                        <m:r>
                          <w:rPr>
                            <w:rFonts w:ascii="Cambria Math" w:hAnsi="Cambria Math"/>
                          </w:rPr>
                          <m:t>secondairement</m:t>
                        </m:r>
                        <m:r>
                          <m:rPr>
                            <m:sty m:val="p"/>
                          </m:rPr>
                          <w:rPr>
                            <w:rFonts w:ascii="Cambria Math" w:hAnsi="Cambria Math"/>
                          </w:rPr>
                          <m:t xml:space="preserve"> </m:t>
                        </m:r>
                        <m:r>
                          <w:rPr>
                            <w:rFonts w:ascii="Cambria Math" w:hAnsi="Cambria Math"/>
                          </w:rPr>
                          <m:t>du</m:t>
                        </m:r>
                        <m:r>
                          <m:rPr>
                            <m:sty m:val="p"/>
                          </m:rPr>
                          <w:rPr>
                            <w:rFonts w:ascii="Cambria Math" w:hAnsi="Cambria Math"/>
                          </w:rPr>
                          <m:t xml:space="preserve"> </m:t>
                        </m:r>
                        <m:r>
                          <w:rPr>
                            <w:rFonts w:ascii="Cambria Math" w:hAnsi="Cambria Math"/>
                          </w:rPr>
                          <m:t>protocole</m:t>
                        </m:r>
                      </m:num>
                      <m:den>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inclus</m:t>
                        </m:r>
                        <m:r>
                          <m:rPr>
                            <m:sty m:val="p"/>
                          </m:rPr>
                          <w:rPr>
                            <w:rFonts w:ascii="Cambria Math" w:hAnsi="Cambria Math"/>
                          </w:rPr>
                          <m:t xml:space="preserve"> </m:t>
                        </m:r>
                        <m:r>
                          <w:rPr>
                            <w:rFonts w:ascii="Cambria Math" w:hAnsi="Cambria Math"/>
                          </w:rPr>
                          <m:t>dans</m:t>
                        </m:r>
                        <m:r>
                          <m:rPr>
                            <m:sty m:val="p"/>
                          </m:rPr>
                          <w:rPr>
                            <w:rFonts w:ascii="Cambria Math" w:hAnsi="Cambria Math"/>
                          </w:rPr>
                          <m:t xml:space="preserve"> </m:t>
                        </m:r>
                        <m:r>
                          <w:rPr>
                            <w:rFonts w:ascii="Cambria Math" w:hAnsi="Cambria Math"/>
                          </w:rPr>
                          <m:t>le</m:t>
                        </m:r>
                        <m:r>
                          <m:rPr>
                            <m:sty m:val="p"/>
                          </m:rPr>
                          <w:rPr>
                            <w:rFonts w:ascii="Cambria Math" w:hAnsi="Cambria Math"/>
                          </w:rPr>
                          <m:t xml:space="preserve"> </m:t>
                        </m:r>
                        <m:r>
                          <w:rPr>
                            <w:rFonts w:ascii="Cambria Math" w:hAnsi="Cambria Math"/>
                          </w:rPr>
                          <m:t>protocole</m:t>
                        </m:r>
                      </m:den>
                    </m:f>
                  </m:e>
                </m:box>
              </m:oMath>
            </m:oMathPara>
          </w:p>
        </w:tc>
        <w:tc>
          <w:tcPr>
            <w:tcW w:w="1998" w:type="dxa"/>
            <w:gridSpan w:val="2"/>
            <w:vAlign w:val="center"/>
          </w:tcPr>
          <w:p w14:paraId="4E65102C" w14:textId="77777777" w:rsidR="002275B8" w:rsidRPr="00741F25" w:rsidRDefault="002275B8" w:rsidP="00220EE2">
            <w:pPr>
              <w:rPr>
                <w:sz w:val="21"/>
                <w:szCs w:val="21"/>
              </w:rPr>
            </w:pPr>
          </w:p>
        </w:tc>
        <w:tc>
          <w:tcPr>
            <w:tcW w:w="2101" w:type="dxa"/>
            <w:vAlign w:val="center"/>
          </w:tcPr>
          <w:p w14:paraId="162A52C3" w14:textId="44E99AAE" w:rsidR="002275B8" w:rsidRPr="00741F25" w:rsidRDefault="002275B8" w:rsidP="00220EE2">
            <w:pPr>
              <w:rPr>
                <w:sz w:val="21"/>
                <w:szCs w:val="21"/>
              </w:rPr>
            </w:pPr>
            <w:r w:rsidRPr="00741F25">
              <w:rPr>
                <w:sz w:val="21"/>
                <w:szCs w:val="21"/>
              </w:rPr>
              <w:t xml:space="preserve">Sortie = reprise du suivi par le médecin généraliste </w:t>
            </w:r>
            <w:proofErr w:type="gramStart"/>
            <w:r w:rsidRPr="00741F25">
              <w:rPr>
                <w:sz w:val="21"/>
                <w:szCs w:val="21"/>
              </w:rPr>
              <w:t>suite à</w:t>
            </w:r>
            <w:proofErr w:type="gramEnd"/>
            <w:r w:rsidRPr="00741F25">
              <w:rPr>
                <w:sz w:val="21"/>
                <w:szCs w:val="21"/>
              </w:rPr>
              <w:t xml:space="preserve"> la présence d’un critère d’intervention du médecin généraliste</w:t>
            </w:r>
          </w:p>
        </w:tc>
      </w:tr>
      <w:tr w:rsidR="00A24106" w14:paraId="4C43204A" w14:textId="77777777" w:rsidTr="00A433AA">
        <w:trPr>
          <w:trHeight w:val="295"/>
        </w:trPr>
        <w:tc>
          <w:tcPr>
            <w:tcW w:w="693" w:type="dxa"/>
            <w:vMerge/>
          </w:tcPr>
          <w:p w14:paraId="2E32BD3B" w14:textId="77777777" w:rsidR="002275B8" w:rsidRPr="00741F25" w:rsidRDefault="002275B8" w:rsidP="00220EE2">
            <w:pPr>
              <w:rPr>
                <w:sz w:val="21"/>
                <w:szCs w:val="21"/>
              </w:rPr>
            </w:pPr>
          </w:p>
        </w:tc>
        <w:tc>
          <w:tcPr>
            <w:tcW w:w="2061" w:type="dxa"/>
            <w:gridSpan w:val="2"/>
            <w:vAlign w:val="center"/>
          </w:tcPr>
          <w:p w14:paraId="6B925480" w14:textId="71140AFD" w:rsidR="002275B8" w:rsidRPr="00741F25" w:rsidRDefault="00A24106" w:rsidP="00220EE2">
            <w:pPr>
              <w:rPr>
                <w:sz w:val="21"/>
                <w:szCs w:val="21"/>
              </w:rPr>
            </w:pPr>
            <w:r w:rsidRPr="00741F25">
              <w:rPr>
                <w:sz w:val="21"/>
                <w:szCs w:val="21"/>
              </w:rPr>
              <w:t>Taux d’évènement indésirable</w:t>
            </w:r>
          </w:p>
        </w:tc>
        <w:tc>
          <w:tcPr>
            <w:tcW w:w="1985" w:type="dxa"/>
            <w:gridSpan w:val="2"/>
            <w:vAlign w:val="center"/>
          </w:tcPr>
          <w:p w14:paraId="67C0AB0F" w14:textId="3F743048" w:rsidR="002275B8" w:rsidRPr="00741F25" w:rsidRDefault="00A24106" w:rsidP="00220EE2">
            <w:pPr>
              <w:rPr>
                <w:sz w:val="21"/>
                <w:szCs w:val="21"/>
              </w:rPr>
            </w:pPr>
            <w:r w:rsidRPr="00741F25">
              <w:rPr>
                <w:sz w:val="21"/>
                <w:szCs w:val="21"/>
              </w:rPr>
              <w:t>Tendre vers 0%</w:t>
            </w:r>
          </w:p>
        </w:tc>
        <w:tc>
          <w:tcPr>
            <w:tcW w:w="5288" w:type="dxa"/>
            <w:gridSpan w:val="3"/>
            <w:vAlign w:val="center"/>
          </w:tcPr>
          <w:p w14:paraId="656F4254" w14:textId="06551CF2" w:rsidR="002275B8" w:rsidRPr="00A24106" w:rsidRDefault="00323535" w:rsidP="00220EE2">
            <w:pPr>
              <w:rPr>
                <w:rFonts w:ascii="Calibri" w:eastAsia="Calibri" w:hAnsi="Calibri" w:cs="Times New Roman"/>
              </w:rPr>
            </w:pPr>
            <m:oMathPara>
              <m:oMath>
                <m:box>
                  <m:boxPr>
                    <m:ctrlPr>
                      <w:rPr>
                        <w:rFonts w:ascii="Cambria Math" w:hAnsi="Cambria Math"/>
                      </w:rPr>
                    </m:ctrlPr>
                  </m:boxPr>
                  <m:e>
                    <m:argPr>
                      <m:argSz m:val="-1"/>
                    </m:argPr>
                    <m:f>
                      <m:fPr>
                        <m:ctrlPr>
                          <w:rPr>
                            <w:rFonts w:ascii="Cambria Math" w:hAnsi="Cambria Math"/>
                          </w:rPr>
                        </m:ctrlPr>
                      </m:fPr>
                      <m:num>
                        <m:eqArr>
                          <m:eqArrPr>
                            <m:ctrlPr>
                              <w:rPr>
                                <w:rFonts w:ascii="Cambria Math" w:hAnsi="Cambria Math"/>
                              </w:rPr>
                            </m:ctrlPr>
                          </m:eqArrPr>
                          <m:e>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ayant</m:t>
                            </m:r>
                            <m:r>
                              <m:rPr>
                                <m:sty m:val="p"/>
                              </m:rPr>
                              <w:rPr>
                                <w:rFonts w:ascii="Cambria Math" w:hAnsi="Cambria Math"/>
                              </w:rPr>
                              <m:t xml:space="preserve"> </m:t>
                            </m:r>
                            <m:r>
                              <w:rPr>
                                <w:rFonts w:ascii="Cambria Math" w:hAnsi="Cambria Math"/>
                              </w:rPr>
                              <m:t>eu</m:t>
                            </m:r>
                            <m:r>
                              <m:rPr>
                                <m:sty m:val="p"/>
                              </m:rPr>
                              <w:rPr>
                                <w:rFonts w:ascii="Cambria Math" w:hAnsi="Cambria Math"/>
                              </w:rPr>
                              <m:t xml:space="preserve"> </m:t>
                            </m:r>
                            <m:r>
                              <w:rPr>
                                <w:rFonts w:ascii="Cambria Math" w:hAnsi="Cambria Math"/>
                              </w:rPr>
                              <m:t>au</m:t>
                            </m:r>
                            <m:r>
                              <m:rPr>
                                <m:sty m:val="p"/>
                              </m:rPr>
                              <w:rPr>
                                <w:rFonts w:ascii="Cambria Math" w:hAnsi="Cambria Math"/>
                              </w:rPr>
                              <m:t xml:space="preserve"> </m:t>
                            </m:r>
                            <m:r>
                              <w:rPr>
                                <w:rFonts w:ascii="Cambria Math" w:hAnsi="Cambria Math"/>
                              </w:rPr>
                              <m:t>moins</m:t>
                            </m:r>
                            <m:r>
                              <m:rPr>
                                <m:sty m:val="p"/>
                              </m:rPr>
                              <w:rPr>
                                <w:rFonts w:ascii="Cambria Math" w:hAnsi="Cambria Math"/>
                              </w:rPr>
                              <m:t xml:space="preserve"> </m:t>
                            </m:r>
                            <m:r>
                              <w:rPr>
                                <w:rFonts w:ascii="Cambria Math" w:hAnsi="Cambria Math"/>
                              </w:rPr>
                              <m:t>un</m:t>
                            </m:r>
                            <m:r>
                              <m:rPr>
                                <m:sty m:val="p"/>
                              </m:rPr>
                              <w:rPr>
                                <w:rFonts w:ascii="Cambria Math" w:hAnsi="Cambria Math"/>
                              </w:rPr>
                              <m:t xml:space="preserve"> </m:t>
                            </m:r>
                            <m:r>
                              <w:rPr>
                                <w:rFonts w:ascii="Cambria Math" w:hAnsi="Cambria Math"/>
                              </w:rPr>
                              <m:t>ev</m:t>
                            </m:r>
                            <m:r>
                              <m:rPr>
                                <m:sty m:val="p"/>
                              </m:rPr>
                              <w:rPr>
                                <w:rFonts w:ascii="Cambria Math" w:hAnsi="Cambria Math"/>
                              </w:rPr>
                              <m:t>è</m:t>
                            </m:r>
                            <m:r>
                              <w:rPr>
                                <w:rFonts w:ascii="Cambria Math" w:hAnsi="Cambria Math"/>
                              </w:rPr>
                              <m:t>nement</m:t>
                            </m:r>
                          </m:e>
                          <m:e>
                            <m:r>
                              <w:rPr>
                                <w:rFonts w:ascii="Cambria Math" w:hAnsi="Cambria Math"/>
                              </w:rPr>
                              <m:t>ind</m:t>
                            </m:r>
                            <m:r>
                              <m:rPr>
                                <m:sty m:val="p"/>
                              </m:rPr>
                              <w:rPr>
                                <w:rFonts w:ascii="Cambria Math" w:hAnsi="Cambria Math"/>
                              </w:rPr>
                              <m:t>é</m:t>
                            </m:r>
                            <m:r>
                              <w:rPr>
                                <w:rFonts w:ascii="Cambria Math" w:hAnsi="Cambria Math"/>
                              </w:rPr>
                              <m:t>sirable</m:t>
                            </m:r>
                            <m:r>
                              <m:rPr>
                                <m:sty m:val="p"/>
                              </m:rPr>
                              <w:rPr>
                                <w:rFonts w:ascii="Cambria Math" w:hAnsi="Cambria Math"/>
                              </w:rPr>
                              <m:t xml:space="preserve"> </m:t>
                            </m:r>
                            <m:r>
                              <w:rPr>
                                <w:rFonts w:ascii="Cambria Math" w:hAnsi="Cambria Math"/>
                              </w:rPr>
                              <m:t>survenu</m:t>
                            </m:r>
                            <m:r>
                              <m:rPr>
                                <m:sty m:val="p"/>
                              </m:rPr>
                              <w:rPr>
                                <w:rFonts w:ascii="Cambria Math" w:hAnsi="Cambria Math"/>
                              </w:rPr>
                              <m:t xml:space="preserve"> </m:t>
                            </m:r>
                            <m:r>
                              <w:rPr>
                                <w:rFonts w:ascii="Cambria Math" w:hAnsi="Cambria Math"/>
                              </w:rPr>
                              <m:t>et</m:t>
                            </m:r>
                            <m:r>
                              <m:rPr>
                                <m:sty m:val="p"/>
                              </m:rPr>
                              <w:rPr>
                                <w:rFonts w:ascii="Cambria Math" w:hAnsi="Cambria Math"/>
                              </w:rPr>
                              <m:t xml:space="preserve"> </m:t>
                            </m:r>
                            <m:r>
                              <w:rPr>
                                <w:rFonts w:ascii="Cambria Math" w:hAnsi="Cambria Math"/>
                              </w:rPr>
                              <m:t>signal</m:t>
                            </m:r>
                            <m:r>
                              <m:rPr>
                                <m:sty m:val="p"/>
                              </m:rPr>
                              <w:rPr>
                                <w:rFonts w:ascii="Cambria Math" w:hAnsi="Cambria Math"/>
                              </w:rPr>
                              <m:t xml:space="preserve">é </m:t>
                            </m:r>
                            <m:r>
                              <w:rPr>
                                <w:rFonts w:ascii="Cambria Math" w:hAnsi="Cambria Math"/>
                              </w:rPr>
                              <m:t>par</m:t>
                            </m:r>
                            <m:r>
                              <m:rPr>
                                <m:sty m:val="p"/>
                              </m:rPr>
                              <w:rPr>
                                <w:rFonts w:ascii="Cambria Math" w:hAnsi="Cambria Math"/>
                              </w:rPr>
                              <m:t xml:space="preserve"> </m:t>
                            </m:r>
                            <m:r>
                              <w:rPr>
                                <w:rFonts w:ascii="Cambria Math" w:hAnsi="Cambria Math"/>
                              </w:rPr>
                              <m:t>le</m:t>
                            </m:r>
                            <m:r>
                              <m:rPr>
                                <m:sty m:val="p"/>
                              </m:rPr>
                              <w:rPr>
                                <w:rFonts w:ascii="Cambria Math" w:hAnsi="Cambria Math"/>
                              </w:rPr>
                              <m:t xml:space="preserve"> </m:t>
                            </m:r>
                            <m:r>
                              <w:rPr>
                                <w:rFonts w:ascii="Cambria Math" w:hAnsi="Cambria Math"/>
                              </w:rPr>
                              <m:t>m</m:t>
                            </m:r>
                            <m:r>
                              <m:rPr>
                                <m:sty m:val="p"/>
                              </m:rPr>
                              <w:rPr>
                                <w:rFonts w:ascii="Cambria Math" w:hAnsi="Cambria Math"/>
                              </w:rPr>
                              <m:t>é</m:t>
                            </m:r>
                            <m:r>
                              <w:rPr>
                                <w:rFonts w:ascii="Cambria Math" w:hAnsi="Cambria Math"/>
                              </w:rPr>
                              <m:t>decin</m:t>
                            </m:r>
                            <m:r>
                              <m:rPr>
                                <m:sty m:val="p"/>
                              </m:rPr>
                              <w:rPr>
                                <w:rFonts w:ascii="Cambria Math" w:hAnsi="Cambria Math"/>
                              </w:rPr>
                              <m:t xml:space="preserve"> </m:t>
                            </m:r>
                            <m:r>
                              <w:rPr>
                                <w:rFonts w:ascii="Cambria Math" w:hAnsi="Cambria Math"/>
                              </w:rPr>
                              <m:t>g</m:t>
                            </m:r>
                            <m:r>
                              <m:rPr>
                                <m:sty m:val="p"/>
                              </m:rPr>
                              <w:rPr>
                                <w:rFonts w:ascii="Cambria Math" w:hAnsi="Cambria Math"/>
                              </w:rPr>
                              <m:t>é</m:t>
                            </m:r>
                            <m:r>
                              <w:rPr>
                                <w:rFonts w:ascii="Cambria Math" w:hAnsi="Cambria Math"/>
                              </w:rPr>
                              <m:t>n</m:t>
                            </m:r>
                            <m:r>
                              <m:rPr>
                                <m:sty m:val="p"/>
                              </m:rPr>
                              <w:rPr>
                                <w:rFonts w:ascii="Cambria Math" w:hAnsi="Cambria Math"/>
                              </w:rPr>
                              <m:t>é</m:t>
                            </m:r>
                            <m:r>
                              <w:rPr>
                                <w:rFonts w:ascii="Cambria Math" w:hAnsi="Cambria Math"/>
                              </w:rPr>
                              <m:t>raliste</m:t>
                            </m:r>
                          </m:e>
                        </m:eqArr>
                      </m:num>
                      <m:den>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inclus</m:t>
                        </m:r>
                        <m:r>
                          <m:rPr>
                            <m:sty m:val="p"/>
                          </m:rPr>
                          <w:rPr>
                            <w:rFonts w:ascii="Cambria Math" w:hAnsi="Cambria Math"/>
                          </w:rPr>
                          <m:t xml:space="preserve"> </m:t>
                        </m:r>
                        <m:r>
                          <w:rPr>
                            <w:rFonts w:ascii="Cambria Math" w:hAnsi="Cambria Math"/>
                          </w:rPr>
                          <m:t>dans</m:t>
                        </m:r>
                        <m:r>
                          <m:rPr>
                            <m:sty m:val="p"/>
                          </m:rPr>
                          <w:rPr>
                            <w:rFonts w:ascii="Cambria Math" w:hAnsi="Cambria Math"/>
                          </w:rPr>
                          <m:t xml:space="preserve"> </m:t>
                        </m:r>
                        <m:r>
                          <w:rPr>
                            <w:rFonts w:ascii="Cambria Math" w:hAnsi="Cambria Math"/>
                          </w:rPr>
                          <m:t>le</m:t>
                        </m:r>
                        <m:r>
                          <m:rPr>
                            <m:sty m:val="p"/>
                          </m:rPr>
                          <w:rPr>
                            <w:rFonts w:ascii="Cambria Math" w:hAnsi="Cambria Math"/>
                          </w:rPr>
                          <m:t xml:space="preserve"> </m:t>
                        </m:r>
                        <m:r>
                          <w:rPr>
                            <w:rFonts w:ascii="Cambria Math" w:hAnsi="Cambria Math"/>
                          </w:rPr>
                          <m:t>protocole</m:t>
                        </m:r>
                      </m:den>
                    </m:f>
                  </m:e>
                </m:box>
              </m:oMath>
            </m:oMathPara>
          </w:p>
        </w:tc>
        <w:tc>
          <w:tcPr>
            <w:tcW w:w="1998" w:type="dxa"/>
            <w:gridSpan w:val="2"/>
            <w:vAlign w:val="center"/>
          </w:tcPr>
          <w:p w14:paraId="78506F39" w14:textId="77777777" w:rsidR="002275B8" w:rsidRPr="00741F25" w:rsidRDefault="002275B8" w:rsidP="00220EE2">
            <w:pPr>
              <w:rPr>
                <w:sz w:val="21"/>
                <w:szCs w:val="21"/>
              </w:rPr>
            </w:pPr>
          </w:p>
        </w:tc>
        <w:tc>
          <w:tcPr>
            <w:tcW w:w="2101" w:type="dxa"/>
            <w:vAlign w:val="center"/>
          </w:tcPr>
          <w:p w14:paraId="40C7CE53" w14:textId="3D0DC792" w:rsidR="002275B8" w:rsidRPr="00741F25" w:rsidRDefault="00A24106" w:rsidP="00220EE2">
            <w:pPr>
              <w:rPr>
                <w:sz w:val="21"/>
                <w:szCs w:val="21"/>
              </w:rPr>
            </w:pPr>
            <w:r w:rsidRPr="00741F25">
              <w:rPr>
                <w:sz w:val="21"/>
                <w:szCs w:val="21"/>
              </w:rPr>
              <w:t>Distinguer selon la gravité et selon le type d’évènement</w:t>
            </w:r>
          </w:p>
        </w:tc>
      </w:tr>
      <w:tr w:rsidR="00A24106" w14:paraId="0153BB48" w14:textId="77777777" w:rsidTr="00A433AA">
        <w:trPr>
          <w:trHeight w:val="295"/>
        </w:trPr>
        <w:tc>
          <w:tcPr>
            <w:tcW w:w="693" w:type="dxa"/>
            <w:vMerge/>
          </w:tcPr>
          <w:p w14:paraId="2B8FE2F0" w14:textId="77777777" w:rsidR="002275B8" w:rsidRPr="00741F25" w:rsidRDefault="002275B8" w:rsidP="00220EE2">
            <w:pPr>
              <w:rPr>
                <w:sz w:val="21"/>
                <w:szCs w:val="21"/>
              </w:rPr>
            </w:pPr>
          </w:p>
        </w:tc>
        <w:tc>
          <w:tcPr>
            <w:tcW w:w="2061" w:type="dxa"/>
            <w:gridSpan w:val="2"/>
            <w:vAlign w:val="center"/>
          </w:tcPr>
          <w:p w14:paraId="4A01CA5C" w14:textId="0AA28B8B" w:rsidR="002275B8" w:rsidRPr="00741F25" w:rsidRDefault="00A24106" w:rsidP="00220EE2">
            <w:pPr>
              <w:rPr>
                <w:sz w:val="21"/>
                <w:szCs w:val="21"/>
              </w:rPr>
            </w:pPr>
            <w:r w:rsidRPr="00741F25">
              <w:rPr>
                <w:sz w:val="21"/>
                <w:szCs w:val="21"/>
              </w:rPr>
              <w:t>Taux de réunion d’analyse des pratiques</w:t>
            </w:r>
          </w:p>
        </w:tc>
        <w:tc>
          <w:tcPr>
            <w:tcW w:w="1985" w:type="dxa"/>
            <w:gridSpan w:val="2"/>
            <w:vAlign w:val="center"/>
          </w:tcPr>
          <w:p w14:paraId="41BCF59A" w14:textId="56105661" w:rsidR="002275B8" w:rsidRPr="00741F25" w:rsidRDefault="00A24106" w:rsidP="00220EE2">
            <w:pPr>
              <w:rPr>
                <w:sz w:val="21"/>
                <w:szCs w:val="21"/>
              </w:rPr>
            </w:pPr>
            <w:r w:rsidRPr="00741F25">
              <w:rPr>
                <w:sz w:val="21"/>
                <w:szCs w:val="21"/>
              </w:rPr>
              <w:t>Tendre vers 100%</w:t>
            </w:r>
          </w:p>
        </w:tc>
        <w:tc>
          <w:tcPr>
            <w:tcW w:w="5288" w:type="dxa"/>
            <w:gridSpan w:val="3"/>
            <w:vAlign w:val="center"/>
          </w:tcPr>
          <w:p w14:paraId="0926E80B" w14:textId="1B678B34" w:rsidR="002275B8" w:rsidRPr="00A24106" w:rsidRDefault="00323535" w:rsidP="00220EE2">
            <w:pPr>
              <w:rPr>
                <w:rFonts w:ascii="Calibri" w:eastAsia="Calibri" w:hAnsi="Calibri" w:cs="Times New Roman"/>
              </w:rPr>
            </w:pPr>
            <m:oMathPara>
              <m:oMath>
                <m:box>
                  <m:boxPr>
                    <m:ctrlPr>
                      <w:rPr>
                        <w:rFonts w:ascii="Cambria Math" w:hAnsi="Cambria Math"/>
                      </w:rPr>
                    </m:ctrlPr>
                  </m:boxPr>
                  <m:e>
                    <m:argPr>
                      <m:argSz m:val="-1"/>
                    </m:argPr>
                    <m:f>
                      <m:fPr>
                        <m:ctrlPr>
                          <w:rPr>
                            <w:rFonts w:ascii="Cambria Math" w:hAnsi="Cambria Math"/>
                          </w:rPr>
                        </m:ctrlPr>
                      </m:fPr>
                      <m:num>
                        <m:eqArr>
                          <m:eqArrPr>
                            <m:ctrlPr>
                              <w:rPr>
                                <w:rFonts w:ascii="Cambria Math" w:hAnsi="Cambria Math"/>
                              </w:rPr>
                            </m:ctrlPr>
                          </m:eqArrPr>
                          <m:e>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r</m:t>
                            </m:r>
                            <m:r>
                              <m:rPr>
                                <m:sty m:val="p"/>
                              </m:rPr>
                              <w:rPr>
                                <w:rFonts w:ascii="Cambria Math" w:hAnsi="Cambria Math"/>
                              </w:rPr>
                              <m:t>é</m:t>
                            </m:r>
                            <m:r>
                              <w:rPr>
                                <w:rFonts w:ascii="Cambria Math" w:hAnsi="Cambria Math"/>
                              </w:rPr>
                              <m:t>unions</m:t>
                            </m:r>
                            <m:r>
                              <m:rPr>
                                <m:sty m:val="p"/>
                              </m:rPr>
                              <w:rPr>
                                <w:rFonts w:ascii="Cambria Math" w:hAnsi="Cambria Math"/>
                              </w:rPr>
                              <m:t xml:space="preserve"> </m:t>
                            </m:r>
                            <m:r>
                              <w:rPr>
                                <w:rFonts w:ascii="Cambria Math" w:hAnsi="Cambria Math"/>
                              </w:rPr>
                              <m:t>des</m:t>
                            </m:r>
                            <m:r>
                              <m:rPr>
                                <m:sty m:val="p"/>
                              </m:rPr>
                              <w:rPr>
                                <w:rFonts w:ascii="Cambria Math" w:hAnsi="Cambria Math"/>
                              </w:rPr>
                              <m:t xml:space="preserve"> </m:t>
                            </m:r>
                            <m:r>
                              <w:rPr>
                                <w:rFonts w:ascii="Cambria Math" w:hAnsi="Cambria Math"/>
                              </w:rPr>
                              <m:t>analyse</m:t>
                            </m:r>
                            <m:r>
                              <m:rPr>
                                <m:sty m:val="p"/>
                              </m:rPr>
                              <w:rPr>
                                <w:rFonts w:ascii="Cambria Math" w:hAnsi="Cambria Math"/>
                              </w:rPr>
                              <m:t xml:space="preserve"> </m:t>
                            </m:r>
                            <m:r>
                              <w:rPr>
                                <w:rFonts w:ascii="Cambria Math" w:hAnsi="Cambria Math"/>
                              </w:rPr>
                              <m:t>des</m:t>
                            </m:r>
                            <m:r>
                              <m:rPr>
                                <m:sty m:val="p"/>
                              </m:rPr>
                              <w:rPr>
                                <w:rFonts w:ascii="Cambria Math" w:hAnsi="Cambria Math"/>
                              </w:rPr>
                              <m:t xml:space="preserve"> </m:t>
                            </m:r>
                            <m:r>
                              <w:rPr>
                                <w:rFonts w:ascii="Cambria Math" w:hAnsi="Cambria Math"/>
                              </w:rPr>
                              <m:t>pratiques</m:t>
                            </m:r>
                          </m:e>
                          <m:e>
                            <m:r>
                              <w:rPr>
                                <w:rFonts w:ascii="Cambria Math" w:hAnsi="Cambria Math"/>
                              </w:rPr>
                              <m:t>effectu</m:t>
                            </m:r>
                            <m:r>
                              <m:rPr>
                                <m:sty m:val="p"/>
                              </m:rPr>
                              <w:rPr>
                                <w:rFonts w:ascii="Cambria Math" w:hAnsi="Cambria Math"/>
                              </w:rPr>
                              <m:t>é</m:t>
                            </m:r>
                            <m:r>
                              <w:rPr>
                                <w:rFonts w:ascii="Cambria Math" w:hAnsi="Cambria Math"/>
                              </w:rPr>
                              <m:t>es</m:t>
                            </m:r>
                            <m:r>
                              <m:rPr>
                                <m:sty m:val="p"/>
                              </m:rPr>
                              <w:rPr>
                                <w:rFonts w:ascii="Cambria Math" w:hAnsi="Cambria Math"/>
                              </w:rPr>
                              <m:t xml:space="preserve"> </m:t>
                            </m:r>
                            <m:r>
                              <w:rPr>
                                <w:rFonts w:ascii="Cambria Math" w:hAnsi="Cambria Math"/>
                              </w:rPr>
                              <m:t>par</m:t>
                            </m:r>
                            <m:r>
                              <m:rPr>
                                <m:sty m:val="p"/>
                              </m:rPr>
                              <w:rPr>
                                <w:rFonts w:ascii="Cambria Math" w:hAnsi="Cambria Math"/>
                              </w:rPr>
                              <m:t xml:space="preserve"> </m:t>
                            </m:r>
                            <m:r>
                              <w:rPr>
                                <w:rFonts w:ascii="Cambria Math" w:hAnsi="Cambria Math"/>
                              </w:rPr>
                              <m:t>an</m:t>
                            </m:r>
                          </m:e>
                        </m:eqArr>
                      </m:num>
                      <m:den>
                        <m:eqArr>
                          <m:eqArrPr>
                            <m:ctrlPr>
                              <w:rPr>
                                <w:rFonts w:ascii="Cambria Math" w:hAnsi="Cambria Math"/>
                              </w:rPr>
                            </m:ctrlPr>
                          </m:eqArrPr>
                          <m:e>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r</m:t>
                            </m:r>
                            <m:r>
                              <m:rPr>
                                <m:sty m:val="p"/>
                              </m:rPr>
                              <w:rPr>
                                <w:rFonts w:ascii="Cambria Math" w:hAnsi="Cambria Math"/>
                              </w:rPr>
                              <m:t>é</m:t>
                            </m:r>
                            <m:r>
                              <w:rPr>
                                <w:rFonts w:ascii="Cambria Math" w:hAnsi="Cambria Math"/>
                              </w:rPr>
                              <m:t>unions</m:t>
                            </m:r>
                            <m:r>
                              <m:rPr>
                                <m:sty m:val="p"/>
                              </m:rPr>
                              <w:rPr>
                                <w:rFonts w:ascii="Cambria Math" w:hAnsi="Cambria Math"/>
                              </w:rPr>
                              <m:t xml:space="preserve"> </m:t>
                            </m:r>
                            <m:r>
                              <w:rPr>
                                <w:rFonts w:ascii="Cambria Math" w:hAnsi="Cambria Math"/>
                              </w:rPr>
                              <m:t>des</m:t>
                            </m:r>
                            <m:r>
                              <m:rPr>
                                <m:sty m:val="p"/>
                              </m:rPr>
                              <w:rPr>
                                <w:rFonts w:ascii="Cambria Math" w:hAnsi="Cambria Math"/>
                              </w:rPr>
                              <m:t xml:space="preserve"> </m:t>
                            </m:r>
                            <m:r>
                              <w:rPr>
                                <w:rFonts w:ascii="Cambria Math" w:hAnsi="Cambria Math"/>
                              </w:rPr>
                              <m:t>analyse</m:t>
                            </m:r>
                            <m:r>
                              <m:rPr>
                                <m:sty m:val="p"/>
                              </m:rPr>
                              <w:rPr>
                                <w:rFonts w:ascii="Cambria Math" w:hAnsi="Cambria Math"/>
                              </w:rPr>
                              <m:t xml:space="preserve"> </m:t>
                            </m:r>
                            <m:r>
                              <w:rPr>
                                <w:rFonts w:ascii="Cambria Math" w:hAnsi="Cambria Math"/>
                              </w:rPr>
                              <m:t>des</m:t>
                            </m:r>
                            <m:r>
                              <m:rPr>
                                <m:sty m:val="p"/>
                              </m:rPr>
                              <w:rPr>
                                <w:rFonts w:ascii="Cambria Math" w:hAnsi="Cambria Math"/>
                              </w:rPr>
                              <m:t xml:space="preserve"> </m:t>
                            </m:r>
                            <m:r>
                              <w:rPr>
                                <w:rFonts w:ascii="Cambria Math" w:hAnsi="Cambria Math"/>
                              </w:rPr>
                              <m:t>pratiques</m:t>
                            </m:r>
                          </m:e>
                          <m:e>
                            <m:r>
                              <w:rPr>
                                <w:rFonts w:ascii="Cambria Math" w:hAnsi="Cambria Math"/>
                              </w:rPr>
                              <m:t>pr</m:t>
                            </m:r>
                            <m:r>
                              <m:rPr>
                                <m:sty m:val="p"/>
                              </m:rPr>
                              <w:rPr>
                                <w:rFonts w:ascii="Cambria Math" w:hAnsi="Cambria Math"/>
                              </w:rPr>
                              <m:t>é</m:t>
                            </m:r>
                            <m:r>
                              <w:rPr>
                                <w:rFonts w:ascii="Cambria Math" w:hAnsi="Cambria Math"/>
                              </w:rPr>
                              <m:t>vues</m:t>
                            </m:r>
                            <m:r>
                              <m:rPr>
                                <m:sty m:val="p"/>
                              </m:rPr>
                              <w:rPr>
                                <w:rFonts w:ascii="Cambria Math" w:hAnsi="Cambria Math"/>
                              </w:rPr>
                              <m:t xml:space="preserve"> </m:t>
                            </m:r>
                            <m:r>
                              <w:rPr>
                                <w:rFonts w:ascii="Cambria Math" w:hAnsi="Cambria Math"/>
                              </w:rPr>
                              <m:t>par</m:t>
                            </m:r>
                            <m:r>
                              <m:rPr>
                                <m:sty m:val="p"/>
                              </m:rPr>
                              <w:rPr>
                                <w:rFonts w:ascii="Cambria Math" w:hAnsi="Cambria Math"/>
                              </w:rPr>
                              <m:t xml:space="preserve"> </m:t>
                            </m:r>
                            <m:r>
                              <w:rPr>
                                <w:rFonts w:ascii="Cambria Math" w:hAnsi="Cambria Math"/>
                              </w:rPr>
                              <m:t>an</m:t>
                            </m:r>
                          </m:e>
                        </m:eqArr>
                      </m:den>
                    </m:f>
                  </m:e>
                </m:box>
              </m:oMath>
            </m:oMathPara>
          </w:p>
        </w:tc>
        <w:tc>
          <w:tcPr>
            <w:tcW w:w="1998" w:type="dxa"/>
            <w:gridSpan w:val="2"/>
            <w:vAlign w:val="center"/>
          </w:tcPr>
          <w:p w14:paraId="34A0B255" w14:textId="77777777" w:rsidR="002275B8" w:rsidRPr="00741F25" w:rsidRDefault="002275B8" w:rsidP="00220EE2">
            <w:pPr>
              <w:rPr>
                <w:sz w:val="21"/>
                <w:szCs w:val="21"/>
              </w:rPr>
            </w:pPr>
          </w:p>
        </w:tc>
        <w:tc>
          <w:tcPr>
            <w:tcW w:w="2101" w:type="dxa"/>
            <w:vAlign w:val="center"/>
          </w:tcPr>
          <w:p w14:paraId="13E63389" w14:textId="0D514113" w:rsidR="002275B8" w:rsidRPr="00741F25" w:rsidRDefault="00A24106" w:rsidP="00220EE2">
            <w:pPr>
              <w:rPr>
                <w:sz w:val="21"/>
                <w:szCs w:val="21"/>
              </w:rPr>
            </w:pPr>
            <w:r w:rsidRPr="00741F25">
              <w:rPr>
                <w:sz w:val="21"/>
                <w:szCs w:val="21"/>
              </w:rPr>
              <w:t>Au minimum 1/trimestre soit 4/an</w:t>
            </w:r>
          </w:p>
        </w:tc>
      </w:tr>
      <w:tr w:rsidR="00A24106" w14:paraId="1D5E853C" w14:textId="77777777" w:rsidTr="00A433AA">
        <w:trPr>
          <w:trHeight w:val="295"/>
        </w:trPr>
        <w:tc>
          <w:tcPr>
            <w:tcW w:w="693" w:type="dxa"/>
            <w:vMerge/>
          </w:tcPr>
          <w:p w14:paraId="129DAA9F" w14:textId="77777777" w:rsidR="002275B8" w:rsidRPr="00741F25" w:rsidRDefault="002275B8" w:rsidP="00220EE2">
            <w:pPr>
              <w:rPr>
                <w:sz w:val="21"/>
                <w:szCs w:val="21"/>
              </w:rPr>
            </w:pPr>
          </w:p>
        </w:tc>
        <w:tc>
          <w:tcPr>
            <w:tcW w:w="2061" w:type="dxa"/>
            <w:gridSpan w:val="2"/>
            <w:vAlign w:val="center"/>
          </w:tcPr>
          <w:p w14:paraId="45A757D9" w14:textId="0FBC23F1" w:rsidR="002275B8" w:rsidRPr="00741F25" w:rsidRDefault="00A24106" w:rsidP="00220EE2">
            <w:pPr>
              <w:rPr>
                <w:sz w:val="21"/>
                <w:szCs w:val="21"/>
              </w:rPr>
            </w:pPr>
            <w:r w:rsidRPr="00741F25">
              <w:rPr>
                <w:sz w:val="21"/>
                <w:szCs w:val="21"/>
              </w:rPr>
              <w:t>Délai de prise en charge par le pharmacien ou l’infirmier</w:t>
            </w:r>
          </w:p>
        </w:tc>
        <w:tc>
          <w:tcPr>
            <w:tcW w:w="1985" w:type="dxa"/>
            <w:gridSpan w:val="2"/>
            <w:vAlign w:val="center"/>
          </w:tcPr>
          <w:p w14:paraId="3FE2019D" w14:textId="77777777" w:rsidR="002275B8" w:rsidRPr="00741F25" w:rsidRDefault="002275B8" w:rsidP="00220EE2">
            <w:pPr>
              <w:rPr>
                <w:sz w:val="21"/>
                <w:szCs w:val="21"/>
              </w:rPr>
            </w:pPr>
          </w:p>
        </w:tc>
        <w:tc>
          <w:tcPr>
            <w:tcW w:w="5288" w:type="dxa"/>
            <w:gridSpan w:val="3"/>
            <w:vAlign w:val="center"/>
          </w:tcPr>
          <w:p w14:paraId="5C64BF72" w14:textId="2EA0B5B7" w:rsidR="002275B8" w:rsidRPr="00A24106" w:rsidRDefault="00A24106" w:rsidP="00220EE2">
            <w:r w:rsidRPr="00A24106">
              <w:t>Fixer un délai attendu et comparer le taux de patients ayant un RDV en respectant ce délai</w:t>
            </w:r>
          </w:p>
        </w:tc>
        <w:tc>
          <w:tcPr>
            <w:tcW w:w="1998" w:type="dxa"/>
            <w:gridSpan w:val="2"/>
            <w:vAlign w:val="center"/>
          </w:tcPr>
          <w:p w14:paraId="20116955" w14:textId="77777777" w:rsidR="002275B8" w:rsidRPr="00741F25" w:rsidRDefault="002275B8" w:rsidP="00220EE2">
            <w:pPr>
              <w:rPr>
                <w:sz w:val="21"/>
                <w:szCs w:val="21"/>
              </w:rPr>
            </w:pPr>
          </w:p>
        </w:tc>
        <w:tc>
          <w:tcPr>
            <w:tcW w:w="2101" w:type="dxa"/>
            <w:vAlign w:val="center"/>
          </w:tcPr>
          <w:p w14:paraId="4F1069E9" w14:textId="77777777" w:rsidR="002275B8" w:rsidRPr="00741F25" w:rsidRDefault="00A24106" w:rsidP="00220EE2">
            <w:pPr>
              <w:rPr>
                <w:sz w:val="21"/>
                <w:szCs w:val="21"/>
              </w:rPr>
            </w:pPr>
            <w:r w:rsidRPr="00741F25">
              <w:rPr>
                <w:sz w:val="21"/>
                <w:szCs w:val="21"/>
              </w:rPr>
              <w:t>Indicateur de résultat</w:t>
            </w:r>
          </w:p>
          <w:p w14:paraId="5702B174" w14:textId="30333C4B" w:rsidR="00A24106" w:rsidRPr="00741F25" w:rsidRDefault="00A24106" w:rsidP="00220EE2">
            <w:pPr>
              <w:rPr>
                <w:sz w:val="21"/>
                <w:szCs w:val="21"/>
              </w:rPr>
            </w:pPr>
            <w:r w:rsidRPr="00741F25">
              <w:rPr>
                <w:sz w:val="21"/>
                <w:szCs w:val="21"/>
              </w:rPr>
              <w:t>Sa réduction = un des objectifs du protocole</w:t>
            </w:r>
          </w:p>
        </w:tc>
      </w:tr>
      <w:tr w:rsidR="00E208BA" w:rsidRPr="00A24106" w14:paraId="435D3897" w14:textId="77777777" w:rsidTr="00A433AA">
        <w:trPr>
          <w:trHeight w:val="873"/>
        </w:trPr>
        <w:tc>
          <w:tcPr>
            <w:tcW w:w="714" w:type="dxa"/>
            <w:gridSpan w:val="2"/>
          </w:tcPr>
          <w:p w14:paraId="3106B276" w14:textId="77777777" w:rsidR="00AF3240" w:rsidRDefault="00AF3240" w:rsidP="00220EE2"/>
        </w:tc>
        <w:tc>
          <w:tcPr>
            <w:tcW w:w="2144" w:type="dxa"/>
            <w:gridSpan w:val="2"/>
            <w:vAlign w:val="center"/>
          </w:tcPr>
          <w:p w14:paraId="68F92D16" w14:textId="77777777" w:rsidR="00AF3240" w:rsidRPr="00741F25" w:rsidRDefault="00AF3240" w:rsidP="00220EE2">
            <w:pPr>
              <w:jc w:val="center"/>
              <w:rPr>
                <w:b/>
                <w:bCs/>
              </w:rPr>
            </w:pPr>
            <w:r w:rsidRPr="00741F25">
              <w:rPr>
                <w:b/>
                <w:bCs/>
              </w:rPr>
              <w:t>Libellé de l’indicateur</w:t>
            </w:r>
          </w:p>
        </w:tc>
        <w:tc>
          <w:tcPr>
            <w:tcW w:w="2084" w:type="dxa"/>
            <w:gridSpan w:val="2"/>
            <w:vAlign w:val="center"/>
          </w:tcPr>
          <w:p w14:paraId="3A438520" w14:textId="77777777" w:rsidR="00AF3240" w:rsidRPr="00741F25" w:rsidRDefault="00AF3240" w:rsidP="00220EE2">
            <w:pPr>
              <w:jc w:val="center"/>
              <w:rPr>
                <w:b/>
                <w:bCs/>
              </w:rPr>
            </w:pPr>
            <w:r w:rsidRPr="00741F25">
              <w:rPr>
                <w:b/>
                <w:bCs/>
              </w:rPr>
              <w:t>Objectif quantifié</w:t>
            </w:r>
          </w:p>
        </w:tc>
        <w:tc>
          <w:tcPr>
            <w:tcW w:w="4926" w:type="dxa"/>
            <w:vAlign w:val="center"/>
          </w:tcPr>
          <w:p w14:paraId="4B56F830" w14:textId="77777777" w:rsidR="00AF3240" w:rsidRPr="00741F25" w:rsidRDefault="00AF3240" w:rsidP="00220EE2">
            <w:pPr>
              <w:jc w:val="center"/>
              <w:rPr>
                <w:b/>
                <w:bCs/>
              </w:rPr>
            </w:pPr>
            <w:r w:rsidRPr="00741F25">
              <w:rPr>
                <w:b/>
                <w:bCs/>
              </w:rPr>
              <w:t>Opération à réaliser</w:t>
            </w:r>
          </w:p>
        </w:tc>
        <w:tc>
          <w:tcPr>
            <w:tcW w:w="2094" w:type="dxa"/>
            <w:gridSpan w:val="2"/>
            <w:vAlign w:val="center"/>
          </w:tcPr>
          <w:p w14:paraId="04196A84" w14:textId="7E4A598E" w:rsidR="00AF3240" w:rsidRPr="00741F25" w:rsidRDefault="00AF3240" w:rsidP="00220EE2">
            <w:pPr>
              <w:jc w:val="center"/>
              <w:rPr>
                <w:b/>
                <w:bCs/>
              </w:rPr>
            </w:pPr>
            <w:r w:rsidRPr="00741F25">
              <w:rPr>
                <w:b/>
                <w:bCs/>
              </w:rPr>
              <w:t>Seuil d’alerte</w:t>
            </w:r>
          </w:p>
          <w:p w14:paraId="627C21ED" w14:textId="5759EE0A" w:rsidR="00AF3240" w:rsidRPr="00741F25" w:rsidRDefault="00AF3240" w:rsidP="00220EE2">
            <w:pPr>
              <w:jc w:val="center"/>
              <w:rPr>
                <w:b/>
                <w:bCs/>
              </w:rPr>
            </w:pPr>
            <w:r w:rsidRPr="00741F25">
              <w:rPr>
                <w:b/>
                <w:bCs/>
              </w:rPr>
              <w:t>(Si différent de l’objectif)</w:t>
            </w:r>
          </w:p>
        </w:tc>
        <w:tc>
          <w:tcPr>
            <w:tcW w:w="2163" w:type="dxa"/>
            <w:gridSpan w:val="2"/>
            <w:vAlign w:val="center"/>
          </w:tcPr>
          <w:p w14:paraId="4F2E6ECB" w14:textId="77777777" w:rsidR="00AF3240" w:rsidRPr="00741F25" w:rsidRDefault="00AF3240" w:rsidP="00220EE2">
            <w:pPr>
              <w:jc w:val="center"/>
              <w:rPr>
                <w:b/>
                <w:bCs/>
              </w:rPr>
            </w:pPr>
            <w:r w:rsidRPr="00741F25">
              <w:rPr>
                <w:b/>
                <w:bCs/>
              </w:rPr>
              <w:t>Commentaire</w:t>
            </w:r>
          </w:p>
        </w:tc>
      </w:tr>
      <w:tr w:rsidR="00E208BA" w:rsidRPr="00A24106" w14:paraId="069DA6BC" w14:textId="77777777" w:rsidTr="00A433AA">
        <w:trPr>
          <w:cantSplit/>
          <w:trHeight w:val="1132"/>
        </w:trPr>
        <w:tc>
          <w:tcPr>
            <w:tcW w:w="714" w:type="dxa"/>
            <w:gridSpan w:val="2"/>
            <w:vMerge w:val="restart"/>
            <w:textDirection w:val="btLr"/>
            <w:vAlign w:val="center"/>
          </w:tcPr>
          <w:p w14:paraId="3C8655DD" w14:textId="16924C66" w:rsidR="00AF3240" w:rsidRPr="00741F25" w:rsidRDefault="00AF3240" w:rsidP="00741F25">
            <w:pPr>
              <w:jc w:val="center"/>
              <w:rPr>
                <w:sz w:val="21"/>
                <w:szCs w:val="21"/>
              </w:rPr>
            </w:pPr>
            <w:r w:rsidRPr="00741F25">
              <w:rPr>
                <w:sz w:val="21"/>
                <w:szCs w:val="21"/>
              </w:rPr>
              <w:t>Suivi</w:t>
            </w:r>
          </w:p>
        </w:tc>
        <w:tc>
          <w:tcPr>
            <w:tcW w:w="2144" w:type="dxa"/>
            <w:gridSpan w:val="2"/>
            <w:vAlign w:val="center"/>
          </w:tcPr>
          <w:p w14:paraId="0898C5B9" w14:textId="1FD65D3F" w:rsidR="00AF3240" w:rsidRPr="00741F25" w:rsidRDefault="00AF3240" w:rsidP="00220EE2">
            <w:pPr>
              <w:rPr>
                <w:sz w:val="21"/>
                <w:szCs w:val="21"/>
              </w:rPr>
            </w:pPr>
            <w:r w:rsidRPr="00741F25">
              <w:rPr>
                <w:sz w:val="21"/>
                <w:szCs w:val="21"/>
              </w:rPr>
              <w:t>Taux de prescriptions pertinentes d’antibiotiques</w:t>
            </w:r>
          </w:p>
        </w:tc>
        <w:tc>
          <w:tcPr>
            <w:tcW w:w="2084" w:type="dxa"/>
            <w:gridSpan w:val="2"/>
            <w:vAlign w:val="center"/>
          </w:tcPr>
          <w:p w14:paraId="67E5F3CA" w14:textId="70E41153" w:rsidR="00AF3240" w:rsidRPr="00741F25" w:rsidRDefault="00AF3240" w:rsidP="00220EE2">
            <w:pPr>
              <w:rPr>
                <w:sz w:val="21"/>
                <w:szCs w:val="21"/>
              </w:rPr>
            </w:pPr>
            <w:r w:rsidRPr="00741F25">
              <w:rPr>
                <w:sz w:val="21"/>
                <w:szCs w:val="21"/>
              </w:rPr>
              <w:t>Tendre vers 100%</w:t>
            </w:r>
          </w:p>
        </w:tc>
        <w:tc>
          <w:tcPr>
            <w:tcW w:w="4926" w:type="dxa"/>
            <w:vAlign w:val="center"/>
          </w:tcPr>
          <w:p w14:paraId="7BC68550" w14:textId="461D7016" w:rsidR="00AF3240" w:rsidRPr="00AF3240" w:rsidRDefault="00323535" w:rsidP="00220EE2">
            <m:oMathPara>
              <m:oMath>
                <m:box>
                  <m:boxPr>
                    <m:ctrlPr>
                      <w:rPr>
                        <w:rFonts w:ascii="Cambria Math" w:hAnsi="Cambria Math"/>
                      </w:rPr>
                    </m:ctrlPr>
                  </m:boxPr>
                  <m:e>
                    <m:argPr>
                      <m:argSz m:val="-1"/>
                    </m:argPr>
                    <m:f>
                      <m:fPr>
                        <m:ctrlPr>
                          <w:rPr>
                            <w:rFonts w:ascii="Cambria Math" w:hAnsi="Cambria Math"/>
                          </w:rPr>
                        </m:ctrlPr>
                      </m:fPr>
                      <m:num>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prescriptions</m:t>
                        </m:r>
                        <m:r>
                          <m:rPr>
                            <m:sty m:val="p"/>
                          </m:rPr>
                          <w:rPr>
                            <w:rFonts w:ascii="Cambria Math" w:hAnsi="Cambria Math"/>
                          </w:rPr>
                          <m:t xml:space="preserve"> </m:t>
                        </m:r>
                        <m:sSup>
                          <m:sSupPr>
                            <m:ctrlPr>
                              <w:rPr>
                                <w:rFonts w:ascii="Cambria Math" w:hAnsi="Cambria Math"/>
                              </w:rPr>
                            </m:ctrlPr>
                          </m:sSupPr>
                          <m:e>
                            <m:r>
                              <w:rPr>
                                <w:rFonts w:ascii="Cambria Math" w:hAnsi="Cambria Math"/>
                              </w:rPr>
                              <m:t>d</m:t>
                            </m:r>
                          </m:e>
                          <m:sup>
                            <m:r>
                              <m:rPr>
                                <m:sty m:val="p"/>
                              </m:rPr>
                              <w:rPr>
                                <w:rFonts w:ascii="Cambria Math" w:hAnsi="Cambria Math"/>
                              </w:rPr>
                              <m:t>'</m:t>
                            </m:r>
                          </m:sup>
                        </m:sSup>
                        <m:r>
                          <w:rPr>
                            <w:rFonts w:ascii="Cambria Math" w:hAnsi="Cambria Math"/>
                          </w:rPr>
                          <m:t>antibiotiques</m:t>
                        </m:r>
                      </m:num>
                      <m:den>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avec</m:t>
                        </m:r>
                        <m:r>
                          <m:rPr>
                            <m:sty m:val="p"/>
                          </m:rPr>
                          <w:rPr>
                            <w:rFonts w:ascii="Cambria Math" w:hAnsi="Cambria Math"/>
                          </w:rPr>
                          <m:t xml:space="preserve"> </m:t>
                        </m:r>
                        <m:r>
                          <w:rPr>
                            <w:rFonts w:ascii="Cambria Math" w:hAnsi="Cambria Math"/>
                          </w:rPr>
                          <m:t>un</m:t>
                        </m:r>
                        <m:r>
                          <m:rPr>
                            <m:sty m:val="p"/>
                          </m:rPr>
                          <w:rPr>
                            <w:rFonts w:ascii="Cambria Math" w:hAnsi="Cambria Math"/>
                          </w:rPr>
                          <m:t xml:space="preserve"> </m:t>
                        </m:r>
                        <m:r>
                          <w:rPr>
                            <w:rFonts w:ascii="Cambria Math" w:hAnsi="Cambria Math"/>
                          </w:rPr>
                          <m:t>TDR</m:t>
                        </m:r>
                        <m:r>
                          <m:rPr>
                            <m:sty m:val="p"/>
                          </m:rPr>
                          <w:rPr>
                            <w:rFonts w:ascii="Cambria Math" w:hAnsi="Cambria Math"/>
                          </w:rPr>
                          <m:t xml:space="preserve"> </m:t>
                        </m:r>
                        <m:r>
                          <w:rPr>
                            <w:rFonts w:ascii="Cambria Math" w:hAnsi="Cambria Math"/>
                          </w:rPr>
                          <m:t>positif</m:t>
                        </m:r>
                      </m:den>
                    </m:f>
                  </m:e>
                </m:box>
              </m:oMath>
            </m:oMathPara>
          </w:p>
        </w:tc>
        <w:tc>
          <w:tcPr>
            <w:tcW w:w="2094" w:type="dxa"/>
            <w:gridSpan w:val="2"/>
            <w:vAlign w:val="center"/>
          </w:tcPr>
          <w:p w14:paraId="09F554B6" w14:textId="77777777" w:rsidR="00AF3240" w:rsidRPr="00741F25" w:rsidRDefault="00AF3240" w:rsidP="00220EE2">
            <w:pPr>
              <w:rPr>
                <w:sz w:val="21"/>
                <w:szCs w:val="21"/>
              </w:rPr>
            </w:pPr>
          </w:p>
        </w:tc>
        <w:tc>
          <w:tcPr>
            <w:tcW w:w="2163" w:type="dxa"/>
            <w:gridSpan w:val="2"/>
            <w:vAlign w:val="center"/>
          </w:tcPr>
          <w:p w14:paraId="23BF8D54" w14:textId="77777777" w:rsidR="00AF3240" w:rsidRPr="00741F25" w:rsidRDefault="00AF3240" w:rsidP="00220EE2">
            <w:pPr>
              <w:rPr>
                <w:sz w:val="21"/>
                <w:szCs w:val="21"/>
              </w:rPr>
            </w:pPr>
          </w:p>
        </w:tc>
      </w:tr>
      <w:tr w:rsidR="00E208BA" w:rsidRPr="00A24106" w14:paraId="116D2BD2" w14:textId="77777777" w:rsidTr="00A433AA">
        <w:trPr>
          <w:cantSplit/>
          <w:trHeight w:val="1132"/>
        </w:trPr>
        <w:tc>
          <w:tcPr>
            <w:tcW w:w="714" w:type="dxa"/>
            <w:gridSpan w:val="2"/>
            <w:vMerge/>
            <w:textDirection w:val="btLr"/>
            <w:vAlign w:val="center"/>
          </w:tcPr>
          <w:p w14:paraId="2B21A9AB" w14:textId="77777777" w:rsidR="00AF3240" w:rsidRPr="00741F25" w:rsidRDefault="00AF3240" w:rsidP="00741F25">
            <w:pPr>
              <w:jc w:val="center"/>
              <w:rPr>
                <w:sz w:val="21"/>
                <w:szCs w:val="21"/>
              </w:rPr>
            </w:pPr>
          </w:p>
        </w:tc>
        <w:tc>
          <w:tcPr>
            <w:tcW w:w="2144" w:type="dxa"/>
            <w:gridSpan w:val="2"/>
            <w:vAlign w:val="center"/>
          </w:tcPr>
          <w:p w14:paraId="4576C2C9" w14:textId="51917516" w:rsidR="00AF3240" w:rsidRPr="00741F25" w:rsidRDefault="00AF3240" w:rsidP="00220EE2">
            <w:pPr>
              <w:rPr>
                <w:sz w:val="21"/>
                <w:szCs w:val="21"/>
              </w:rPr>
            </w:pPr>
            <w:r w:rsidRPr="00741F25">
              <w:rPr>
                <w:sz w:val="21"/>
                <w:szCs w:val="21"/>
              </w:rPr>
              <w:t>Taux d’arrêts de travail prescrits par les pharmaciens et les infirmiers</w:t>
            </w:r>
          </w:p>
        </w:tc>
        <w:tc>
          <w:tcPr>
            <w:tcW w:w="2084" w:type="dxa"/>
            <w:gridSpan w:val="2"/>
            <w:vAlign w:val="center"/>
          </w:tcPr>
          <w:p w14:paraId="781B85AA" w14:textId="77777777" w:rsidR="00AF3240" w:rsidRPr="00741F25" w:rsidRDefault="00AF3240" w:rsidP="00220EE2">
            <w:pPr>
              <w:rPr>
                <w:sz w:val="21"/>
                <w:szCs w:val="21"/>
              </w:rPr>
            </w:pPr>
          </w:p>
        </w:tc>
        <w:tc>
          <w:tcPr>
            <w:tcW w:w="4926" w:type="dxa"/>
            <w:vAlign w:val="center"/>
          </w:tcPr>
          <w:p w14:paraId="52E3B322" w14:textId="6D414505" w:rsidR="00AF3240" w:rsidRPr="00AF3240" w:rsidRDefault="00323535" w:rsidP="00220EE2">
            <w:pPr>
              <w:rPr>
                <w:rFonts w:ascii="Calibri" w:eastAsia="Calibri" w:hAnsi="Calibri" w:cs="Times New Roman"/>
              </w:rPr>
            </w:pPr>
            <m:oMathPara>
              <m:oMath>
                <m:box>
                  <m:boxPr>
                    <m:ctrlPr>
                      <w:rPr>
                        <w:rFonts w:ascii="Cambria Math" w:hAnsi="Cambria Math"/>
                      </w:rPr>
                    </m:ctrlPr>
                  </m:boxPr>
                  <m:e>
                    <m:argPr>
                      <m:argSz m:val="-1"/>
                    </m:argPr>
                    <m:f>
                      <m:fPr>
                        <m:ctrlPr>
                          <w:rPr>
                            <w:rFonts w:ascii="Cambria Math" w:hAnsi="Cambria Math"/>
                          </w:rPr>
                        </m:ctrlPr>
                      </m:fPr>
                      <m:num>
                        <m:r>
                          <w:rPr>
                            <w:rFonts w:ascii="Cambria Math" w:hAnsi="Cambria Math"/>
                          </w:rPr>
                          <m:t>Nombre</m:t>
                        </m:r>
                        <m:r>
                          <m:rPr>
                            <m:sty m:val="p"/>
                          </m:rPr>
                          <w:rPr>
                            <w:rFonts w:ascii="Cambria Math" w:hAnsi="Cambria Math"/>
                          </w:rPr>
                          <m:t xml:space="preserve"> </m:t>
                        </m:r>
                        <m:sSup>
                          <m:sSupPr>
                            <m:ctrlPr>
                              <w:rPr>
                                <w:rFonts w:ascii="Cambria Math" w:hAnsi="Cambria Math"/>
                              </w:rPr>
                            </m:ctrlPr>
                          </m:sSupPr>
                          <m:e>
                            <m:r>
                              <w:rPr>
                                <w:rFonts w:ascii="Cambria Math" w:hAnsi="Cambria Math"/>
                              </w:rPr>
                              <m:t>d</m:t>
                            </m:r>
                          </m:e>
                          <m:sup>
                            <m:r>
                              <m:rPr>
                                <m:sty m:val="p"/>
                              </m:rPr>
                              <w:rPr>
                                <w:rFonts w:ascii="Cambria Math" w:hAnsi="Cambria Math"/>
                              </w:rPr>
                              <m:t>'</m:t>
                            </m:r>
                          </m:sup>
                        </m:sSup>
                        <m:r>
                          <w:rPr>
                            <w:rFonts w:ascii="Cambria Math" w:hAnsi="Cambria Math"/>
                          </w:rPr>
                          <m:t>arr</m:t>
                        </m:r>
                        <m:r>
                          <m:rPr>
                            <m:sty m:val="p"/>
                          </m:rPr>
                          <w:rPr>
                            <w:rFonts w:ascii="Cambria Math" w:hAnsi="Cambria Math"/>
                          </w:rPr>
                          <m:t>ê</m:t>
                        </m:r>
                        <m:r>
                          <w:rPr>
                            <w:rFonts w:ascii="Cambria Math" w:hAnsi="Cambria Math"/>
                          </w:rPr>
                          <m:t>ts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travail</m:t>
                        </m:r>
                        <m:r>
                          <m:rPr>
                            <m:sty m:val="p"/>
                          </m:rPr>
                          <w:rPr>
                            <w:rFonts w:ascii="Cambria Math" w:hAnsi="Cambria Math"/>
                          </w:rPr>
                          <m:t xml:space="preserve"> </m:t>
                        </m:r>
                        <m:r>
                          <w:rPr>
                            <w:rFonts w:ascii="Cambria Math" w:hAnsi="Cambria Math"/>
                          </w:rPr>
                          <m:t>prescrits</m:t>
                        </m:r>
                      </m:num>
                      <m:den>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inclus</m:t>
                        </m:r>
                        <m:r>
                          <m:rPr>
                            <m:sty m:val="p"/>
                          </m:rPr>
                          <w:rPr>
                            <w:rFonts w:ascii="Cambria Math" w:hAnsi="Cambria Math"/>
                          </w:rPr>
                          <m:t xml:space="preserve"> </m:t>
                        </m:r>
                        <m:r>
                          <w:rPr>
                            <w:rFonts w:ascii="Cambria Math" w:hAnsi="Cambria Math"/>
                          </w:rPr>
                          <m:t>dans</m:t>
                        </m:r>
                        <m:r>
                          <m:rPr>
                            <m:sty m:val="p"/>
                          </m:rPr>
                          <w:rPr>
                            <w:rFonts w:ascii="Cambria Math" w:hAnsi="Cambria Math"/>
                          </w:rPr>
                          <m:t xml:space="preserve"> </m:t>
                        </m:r>
                        <m:r>
                          <w:rPr>
                            <w:rFonts w:ascii="Cambria Math" w:hAnsi="Cambria Math"/>
                          </w:rPr>
                          <m:t>le</m:t>
                        </m:r>
                        <m:r>
                          <m:rPr>
                            <m:sty m:val="p"/>
                          </m:rPr>
                          <w:rPr>
                            <w:rFonts w:ascii="Cambria Math" w:hAnsi="Cambria Math"/>
                          </w:rPr>
                          <m:t xml:space="preserve"> </m:t>
                        </m:r>
                        <m:r>
                          <w:rPr>
                            <w:rFonts w:ascii="Cambria Math" w:hAnsi="Cambria Math"/>
                          </w:rPr>
                          <m:t>protocole</m:t>
                        </m:r>
                      </m:den>
                    </m:f>
                  </m:e>
                </m:box>
              </m:oMath>
            </m:oMathPara>
          </w:p>
        </w:tc>
        <w:tc>
          <w:tcPr>
            <w:tcW w:w="2094" w:type="dxa"/>
            <w:gridSpan w:val="2"/>
            <w:vAlign w:val="center"/>
          </w:tcPr>
          <w:p w14:paraId="045BFA3E" w14:textId="77777777" w:rsidR="00AF3240" w:rsidRPr="00741F25" w:rsidRDefault="00AF3240" w:rsidP="00220EE2">
            <w:pPr>
              <w:rPr>
                <w:sz w:val="21"/>
                <w:szCs w:val="21"/>
              </w:rPr>
            </w:pPr>
          </w:p>
        </w:tc>
        <w:tc>
          <w:tcPr>
            <w:tcW w:w="2163" w:type="dxa"/>
            <w:gridSpan w:val="2"/>
            <w:vAlign w:val="center"/>
          </w:tcPr>
          <w:p w14:paraId="579BDCA9" w14:textId="43AE8C63" w:rsidR="00AF3240" w:rsidRPr="00741F25" w:rsidRDefault="00AF3240" w:rsidP="00220EE2">
            <w:pPr>
              <w:rPr>
                <w:sz w:val="21"/>
                <w:szCs w:val="21"/>
              </w:rPr>
            </w:pPr>
            <w:r w:rsidRPr="00741F25">
              <w:rPr>
                <w:sz w:val="21"/>
                <w:szCs w:val="21"/>
              </w:rPr>
              <w:t xml:space="preserve">Cela suppose que </w:t>
            </w:r>
            <w:r w:rsidR="008A7883" w:rsidRPr="00741F25">
              <w:rPr>
                <w:sz w:val="21"/>
                <w:szCs w:val="21"/>
              </w:rPr>
              <w:t>les arrêts</w:t>
            </w:r>
            <w:r w:rsidRPr="00741F25">
              <w:rPr>
                <w:sz w:val="21"/>
                <w:szCs w:val="21"/>
              </w:rPr>
              <w:t xml:space="preserve"> de travail sont remis aux patients qui le nécessitent</w:t>
            </w:r>
          </w:p>
        </w:tc>
      </w:tr>
      <w:tr w:rsidR="00E208BA" w:rsidRPr="00A24106" w14:paraId="434F797B" w14:textId="77777777" w:rsidTr="00A433AA">
        <w:trPr>
          <w:cantSplit/>
          <w:trHeight w:val="1132"/>
        </w:trPr>
        <w:tc>
          <w:tcPr>
            <w:tcW w:w="714" w:type="dxa"/>
            <w:gridSpan w:val="2"/>
            <w:vMerge/>
            <w:textDirection w:val="btLr"/>
            <w:vAlign w:val="center"/>
          </w:tcPr>
          <w:p w14:paraId="63DC4841" w14:textId="77777777" w:rsidR="00AF3240" w:rsidRPr="00741F25" w:rsidRDefault="00AF3240" w:rsidP="00741F25">
            <w:pPr>
              <w:jc w:val="center"/>
              <w:rPr>
                <w:sz w:val="21"/>
                <w:szCs w:val="21"/>
              </w:rPr>
            </w:pPr>
          </w:p>
        </w:tc>
        <w:tc>
          <w:tcPr>
            <w:tcW w:w="2144" w:type="dxa"/>
            <w:gridSpan w:val="2"/>
            <w:vAlign w:val="center"/>
          </w:tcPr>
          <w:p w14:paraId="14CCE106" w14:textId="714A0E8A" w:rsidR="00AF3240" w:rsidRPr="00741F25" w:rsidRDefault="00AF3240" w:rsidP="00220EE2">
            <w:pPr>
              <w:rPr>
                <w:sz w:val="21"/>
                <w:szCs w:val="21"/>
              </w:rPr>
            </w:pPr>
            <w:r w:rsidRPr="00741F25">
              <w:rPr>
                <w:sz w:val="21"/>
                <w:szCs w:val="21"/>
              </w:rPr>
              <w:t>Durée moyenne des arrêts de travail prescrits</w:t>
            </w:r>
          </w:p>
        </w:tc>
        <w:tc>
          <w:tcPr>
            <w:tcW w:w="2084" w:type="dxa"/>
            <w:gridSpan w:val="2"/>
            <w:vAlign w:val="center"/>
          </w:tcPr>
          <w:p w14:paraId="12E15CE1" w14:textId="77777777" w:rsidR="00AF3240" w:rsidRPr="00741F25" w:rsidRDefault="00AF3240" w:rsidP="00220EE2">
            <w:pPr>
              <w:rPr>
                <w:sz w:val="21"/>
                <w:szCs w:val="21"/>
              </w:rPr>
            </w:pPr>
          </w:p>
        </w:tc>
        <w:tc>
          <w:tcPr>
            <w:tcW w:w="4926" w:type="dxa"/>
            <w:vAlign w:val="center"/>
          </w:tcPr>
          <w:p w14:paraId="6AB4D1F7" w14:textId="3CFFA468" w:rsidR="00AF3240" w:rsidRPr="00AF3240" w:rsidRDefault="00AF3240" w:rsidP="00220EE2">
            <w:r>
              <w:t>Comparer avec la durée moyenne des arrêts de travail prescrits chez le médecin généraliste pour une même population</w:t>
            </w:r>
          </w:p>
        </w:tc>
        <w:tc>
          <w:tcPr>
            <w:tcW w:w="2094" w:type="dxa"/>
            <w:gridSpan w:val="2"/>
            <w:vAlign w:val="center"/>
          </w:tcPr>
          <w:p w14:paraId="35E7F3B5" w14:textId="77777777" w:rsidR="00AF3240" w:rsidRPr="00741F25" w:rsidRDefault="00AF3240" w:rsidP="00220EE2">
            <w:pPr>
              <w:rPr>
                <w:sz w:val="21"/>
                <w:szCs w:val="21"/>
              </w:rPr>
            </w:pPr>
          </w:p>
        </w:tc>
        <w:tc>
          <w:tcPr>
            <w:tcW w:w="2163" w:type="dxa"/>
            <w:gridSpan w:val="2"/>
            <w:vAlign w:val="center"/>
          </w:tcPr>
          <w:p w14:paraId="1E7D2DB7" w14:textId="397C2E30" w:rsidR="00AF3240" w:rsidRPr="00741F25" w:rsidRDefault="00E208BA" w:rsidP="00220EE2">
            <w:pPr>
              <w:rPr>
                <w:sz w:val="21"/>
                <w:szCs w:val="21"/>
              </w:rPr>
            </w:pPr>
            <w:r w:rsidRPr="00741F25">
              <w:rPr>
                <w:sz w:val="21"/>
                <w:szCs w:val="21"/>
              </w:rPr>
              <w:t>Recueillir également la durée minimum et maximum</w:t>
            </w:r>
          </w:p>
        </w:tc>
      </w:tr>
      <w:tr w:rsidR="00E208BA" w:rsidRPr="00A24106" w14:paraId="4CB8F7B0" w14:textId="77777777" w:rsidTr="00A433AA">
        <w:trPr>
          <w:cantSplit/>
          <w:trHeight w:val="1132"/>
        </w:trPr>
        <w:tc>
          <w:tcPr>
            <w:tcW w:w="714" w:type="dxa"/>
            <w:gridSpan w:val="2"/>
            <w:vMerge/>
            <w:textDirection w:val="btLr"/>
            <w:vAlign w:val="center"/>
          </w:tcPr>
          <w:p w14:paraId="15000950" w14:textId="5EFF6D44" w:rsidR="00AF3240" w:rsidRPr="00741F25" w:rsidRDefault="00AF3240" w:rsidP="00741F25">
            <w:pPr>
              <w:jc w:val="center"/>
              <w:rPr>
                <w:sz w:val="21"/>
                <w:szCs w:val="21"/>
              </w:rPr>
            </w:pPr>
          </w:p>
        </w:tc>
        <w:tc>
          <w:tcPr>
            <w:tcW w:w="2144" w:type="dxa"/>
            <w:gridSpan w:val="2"/>
            <w:vAlign w:val="center"/>
          </w:tcPr>
          <w:p w14:paraId="3D71FCCF" w14:textId="36C9FF07" w:rsidR="00AF3240" w:rsidRPr="00741F25" w:rsidRDefault="00AF3240" w:rsidP="00220EE2">
            <w:pPr>
              <w:rPr>
                <w:sz w:val="21"/>
                <w:szCs w:val="21"/>
              </w:rPr>
            </w:pPr>
            <w:r w:rsidRPr="00741F25">
              <w:rPr>
                <w:sz w:val="21"/>
                <w:szCs w:val="21"/>
              </w:rPr>
              <w:t xml:space="preserve">Taux de </w:t>
            </w:r>
            <w:proofErr w:type="spellStart"/>
            <w:r w:rsidRPr="00741F25">
              <w:rPr>
                <w:sz w:val="21"/>
                <w:szCs w:val="21"/>
              </w:rPr>
              <w:t>re</w:t>
            </w:r>
            <w:proofErr w:type="spellEnd"/>
            <w:r w:rsidRPr="00741F25">
              <w:rPr>
                <w:sz w:val="21"/>
                <w:szCs w:val="21"/>
              </w:rPr>
              <w:t>-consultation après inclusion dans le protocole</w:t>
            </w:r>
          </w:p>
        </w:tc>
        <w:tc>
          <w:tcPr>
            <w:tcW w:w="2084" w:type="dxa"/>
            <w:gridSpan w:val="2"/>
            <w:vAlign w:val="center"/>
          </w:tcPr>
          <w:p w14:paraId="58FC5442" w14:textId="35399E60" w:rsidR="00AF3240" w:rsidRPr="00741F25" w:rsidRDefault="00AF3240" w:rsidP="00220EE2">
            <w:pPr>
              <w:rPr>
                <w:sz w:val="21"/>
                <w:szCs w:val="21"/>
              </w:rPr>
            </w:pPr>
            <w:r w:rsidRPr="00741F25">
              <w:rPr>
                <w:sz w:val="21"/>
                <w:szCs w:val="21"/>
              </w:rPr>
              <w:t>Tendre vers 0%</w:t>
            </w:r>
          </w:p>
        </w:tc>
        <w:tc>
          <w:tcPr>
            <w:tcW w:w="4926" w:type="dxa"/>
            <w:vAlign w:val="center"/>
          </w:tcPr>
          <w:p w14:paraId="6339579E" w14:textId="7BEEF3A7" w:rsidR="00AF3240" w:rsidRPr="00AF3240" w:rsidRDefault="00323535" w:rsidP="00220EE2">
            <w:pPr>
              <w:rPr>
                <w:rFonts w:ascii="Calibri" w:eastAsia="Calibri" w:hAnsi="Calibri" w:cs="Times New Roman"/>
              </w:rPr>
            </w:pPr>
            <m:oMathPara>
              <m:oMath>
                <m:box>
                  <m:boxPr>
                    <m:ctrlPr>
                      <w:rPr>
                        <w:rFonts w:ascii="Cambria Math" w:hAnsi="Cambria Math"/>
                      </w:rPr>
                    </m:ctrlPr>
                  </m:boxPr>
                  <m:e>
                    <m:argPr>
                      <m:argSz m:val="-1"/>
                    </m:argPr>
                    <m:f>
                      <m:fPr>
                        <m:ctrlPr>
                          <w:rPr>
                            <w:rFonts w:ascii="Cambria Math" w:hAnsi="Cambria Math"/>
                          </w:rPr>
                        </m:ctrlPr>
                      </m:fPr>
                      <m:num>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ayant</m:t>
                        </m:r>
                        <m:r>
                          <m:rPr>
                            <m:sty m:val="p"/>
                          </m:rPr>
                          <w:rPr>
                            <w:rFonts w:ascii="Cambria Math" w:hAnsi="Cambria Math"/>
                          </w:rPr>
                          <m:t xml:space="preserve"> </m:t>
                        </m:r>
                        <m:r>
                          <w:rPr>
                            <w:rFonts w:ascii="Cambria Math" w:hAnsi="Cambria Math"/>
                          </w:rPr>
                          <m:t>r</m:t>
                        </m:r>
                        <m:r>
                          <m:rPr>
                            <m:sty m:val="p"/>
                          </m:rPr>
                          <w:rPr>
                            <w:rFonts w:ascii="Cambria Math" w:hAnsi="Cambria Math"/>
                          </w:rPr>
                          <m:t>é</m:t>
                        </m:r>
                        <m:r>
                          <w:rPr>
                            <w:rFonts w:ascii="Cambria Math" w:hAnsi="Cambria Math"/>
                          </w:rPr>
                          <m:t>consult</m:t>
                        </m:r>
                        <m:r>
                          <m:rPr>
                            <m:sty m:val="p"/>
                          </m:rPr>
                          <w:rPr>
                            <w:rFonts w:ascii="Cambria Math" w:hAnsi="Cambria Math"/>
                          </w:rPr>
                          <m:t xml:space="preserve">é </m:t>
                        </m:r>
                        <m:r>
                          <w:rPr>
                            <w:rFonts w:ascii="Cambria Math" w:hAnsi="Cambria Math"/>
                          </w:rPr>
                          <m:t>apr</m:t>
                        </m:r>
                        <m:r>
                          <m:rPr>
                            <m:sty m:val="p"/>
                          </m:rPr>
                          <w:rPr>
                            <w:rFonts w:ascii="Cambria Math" w:hAnsi="Cambria Math"/>
                          </w:rPr>
                          <m:t>è</m:t>
                        </m:r>
                        <m:r>
                          <w:rPr>
                            <w:rFonts w:ascii="Cambria Math" w:hAnsi="Cambria Math"/>
                          </w:rPr>
                          <m:t>s</m:t>
                        </m:r>
                        <m:r>
                          <m:rPr>
                            <m:sty m:val="p"/>
                          </m:rPr>
                          <w:rPr>
                            <w:rFonts w:ascii="Cambria Math" w:hAnsi="Cambria Math"/>
                          </w:rPr>
                          <m:t xml:space="preserve"> </m:t>
                        </m:r>
                        <m:r>
                          <w:rPr>
                            <w:rFonts w:ascii="Cambria Math" w:hAnsi="Cambria Math"/>
                          </w:rPr>
                          <m:t>inclusion</m:t>
                        </m:r>
                      </m:num>
                      <m:den>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inclus</m:t>
                        </m:r>
                      </m:den>
                    </m:f>
                  </m:e>
                </m:box>
              </m:oMath>
            </m:oMathPara>
          </w:p>
        </w:tc>
        <w:tc>
          <w:tcPr>
            <w:tcW w:w="2094" w:type="dxa"/>
            <w:gridSpan w:val="2"/>
            <w:vAlign w:val="center"/>
          </w:tcPr>
          <w:p w14:paraId="29E33AF7" w14:textId="77777777" w:rsidR="00AF3240" w:rsidRPr="00741F25" w:rsidRDefault="00AF3240" w:rsidP="00220EE2">
            <w:pPr>
              <w:rPr>
                <w:sz w:val="21"/>
                <w:szCs w:val="21"/>
              </w:rPr>
            </w:pPr>
          </w:p>
        </w:tc>
        <w:tc>
          <w:tcPr>
            <w:tcW w:w="2163" w:type="dxa"/>
            <w:gridSpan w:val="2"/>
            <w:vAlign w:val="center"/>
          </w:tcPr>
          <w:p w14:paraId="0D59E528" w14:textId="77777777" w:rsidR="00AF3240" w:rsidRPr="00741F25" w:rsidRDefault="00AF3240" w:rsidP="00220EE2">
            <w:pPr>
              <w:rPr>
                <w:sz w:val="21"/>
                <w:szCs w:val="21"/>
              </w:rPr>
            </w:pPr>
          </w:p>
        </w:tc>
      </w:tr>
      <w:tr w:rsidR="00E208BA" w:rsidRPr="00A24106" w14:paraId="0EF1B08D" w14:textId="77777777" w:rsidTr="00A433AA">
        <w:trPr>
          <w:cantSplit/>
          <w:trHeight w:val="1132"/>
        </w:trPr>
        <w:tc>
          <w:tcPr>
            <w:tcW w:w="714" w:type="dxa"/>
            <w:gridSpan w:val="2"/>
            <w:vMerge w:val="restart"/>
            <w:textDirection w:val="btLr"/>
            <w:vAlign w:val="center"/>
          </w:tcPr>
          <w:p w14:paraId="741B8A86" w14:textId="1C9B91B2" w:rsidR="00E208BA" w:rsidRPr="00741F25" w:rsidRDefault="00E208BA" w:rsidP="00741F25">
            <w:pPr>
              <w:jc w:val="center"/>
              <w:rPr>
                <w:sz w:val="21"/>
                <w:szCs w:val="21"/>
              </w:rPr>
            </w:pPr>
            <w:r w:rsidRPr="00741F25">
              <w:rPr>
                <w:sz w:val="21"/>
                <w:szCs w:val="21"/>
              </w:rPr>
              <w:t>Satisfaction</w:t>
            </w:r>
          </w:p>
        </w:tc>
        <w:tc>
          <w:tcPr>
            <w:tcW w:w="2144" w:type="dxa"/>
            <w:gridSpan w:val="2"/>
            <w:vAlign w:val="center"/>
          </w:tcPr>
          <w:p w14:paraId="5F9E3AED" w14:textId="54B85C56" w:rsidR="00E208BA" w:rsidRPr="00741F25" w:rsidRDefault="00E208BA" w:rsidP="00220EE2">
            <w:pPr>
              <w:rPr>
                <w:sz w:val="21"/>
                <w:szCs w:val="21"/>
              </w:rPr>
            </w:pPr>
            <w:r w:rsidRPr="00741F25">
              <w:rPr>
                <w:sz w:val="21"/>
                <w:szCs w:val="21"/>
              </w:rPr>
              <w:t>Taux de satisfaction des patients inclus au protocole</w:t>
            </w:r>
          </w:p>
        </w:tc>
        <w:tc>
          <w:tcPr>
            <w:tcW w:w="2084" w:type="dxa"/>
            <w:gridSpan w:val="2"/>
            <w:vAlign w:val="center"/>
          </w:tcPr>
          <w:p w14:paraId="544786DD" w14:textId="1C78F81B" w:rsidR="00E208BA" w:rsidRPr="00741F25" w:rsidRDefault="00E208BA" w:rsidP="00220EE2">
            <w:pPr>
              <w:rPr>
                <w:sz w:val="21"/>
                <w:szCs w:val="21"/>
              </w:rPr>
            </w:pPr>
            <w:r w:rsidRPr="00741F25">
              <w:rPr>
                <w:sz w:val="21"/>
                <w:szCs w:val="21"/>
              </w:rPr>
              <w:t>Tendre vers 100%</w:t>
            </w:r>
          </w:p>
        </w:tc>
        <w:tc>
          <w:tcPr>
            <w:tcW w:w="4926" w:type="dxa"/>
            <w:vAlign w:val="center"/>
          </w:tcPr>
          <w:p w14:paraId="570DB449" w14:textId="5E4D8210" w:rsidR="00E208BA" w:rsidRPr="00AF3240" w:rsidRDefault="00323535" w:rsidP="00220EE2">
            <w:pPr>
              <w:rPr>
                <w:rFonts w:ascii="Calibri" w:eastAsia="Calibri" w:hAnsi="Calibri" w:cs="Times New Roman"/>
              </w:rPr>
            </w:pPr>
            <m:oMathPara>
              <m:oMath>
                <m:box>
                  <m:boxPr>
                    <m:ctrlPr>
                      <w:rPr>
                        <w:rFonts w:ascii="Cambria Math" w:hAnsi="Cambria Math"/>
                      </w:rPr>
                    </m:ctrlPr>
                  </m:boxPr>
                  <m:e>
                    <m:argPr>
                      <m:argSz m:val="-1"/>
                    </m:argPr>
                    <m:f>
                      <m:fPr>
                        <m:ctrlPr>
                          <w:rPr>
                            <w:rFonts w:ascii="Cambria Math" w:hAnsi="Cambria Math"/>
                          </w:rPr>
                        </m:ctrlPr>
                      </m:fPr>
                      <m:num>
                        <m:eqArr>
                          <m:eqArrPr>
                            <m:ctrlPr>
                              <w:rPr>
                                <w:rFonts w:ascii="Cambria Math" w:hAnsi="Cambria Math"/>
                              </w:rPr>
                            </m:ctrlPr>
                          </m:eqArrPr>
                          <m:e>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ayant</m:t>
                            </m:r>
                            <m:r>
                              <m:rPr>
                                <m:sty m:val="p"/>
                              </m:rPr>
                              <w:rPr>
                                <w:rFonts w:ascii="Cambria Math" w:hAnsi="Cambria Math"/>
                              </w:rPr>
                              <m:t xml:space="preserve"> </m:t>
                            </m:r>
                            <m:r>
                              <w:rPr>
                                <w:rFonts w:ascii="Cambria Math" w:hAnsi="Cambria Math"/>
                              </w:rPr>
                              <m:t>r</m:t>
                            </m:r>
                            <m:r>
                              <m:rPr>
                                <m:sty m:val="p"/>
                              </m:rPr>
                              <w:rPr>
                                <w:rFonts w:ascii="Cambria Math" w:hAnsi="Cambria Math"/>
                              </w:rPr>
                              <m:t>é</m:t>
                            </m:r>
                            <m:r>
                              <w:rPr>
                                <w:rFonts w:ascii="Cambria Math" w:hAnsi="Cambria Math"/>
                              </w:rPr>
                              <m:t>pondu</m:t>
                            </m:r>
                            <m:r>
                              <m:rPr>
                                <m:sty m:val="p"/>
                              </m:rPr>
                              <w:rPr>
                                <w:rFonts w:ascii="Cambria Math" w:hAnsi="Cambria Math"/>
                              </w:rPr>
                              <m:t xml:space="preserve"> "</m:t>
                            </m:r>
                            <m:r>
                              <m:rPr>
                                <m:nor/>
                              </m:rPr>
                              <m:t xml:space="preserve">oui"  </m:t>
                            </m:r>
                            <m:r>
                              <m:rPr>
                                <m:sty m:val="p"/>
                              </m:rPr>
                              <w:rPr>
                                <w:rFonts w:ascii="Cambria Math" w:hAnsi="Cambria Math"/>
                              </w:rPr>
                              <m:t xml:space="preserve">à </m:t>
                            </m:r>
                            <m:r>
                              <w:rPr>
                                <w:rFonts w:ascii="Cambria Math" w:hAnsi="Cambria Math"/>
                              </w:rPr>
                              <m:t>la</m:t>
                            </m:r>
                            <m:r>
                              <m:rPr>
                                <m:sty m:val="p"/>
                              </m:rPr>
                              <w:rPr>
                                <w:rFonts w:ascii="Cambria Math" w:hAnsi="Cambria Math"/>
                              </w:rPr>
                              <m:t xml:space="preserve"> </m:t>
                            </m:r>
                            <m:r>
                              <w:rPr>
                                <w:rFonts w:ascii="Cambria Math" w:hAnsi="Cambria Math"/>
                              </w:rPr>
                              <m:t>question</m:t>
                            </m:r>
                            <m:r>
                              <m:rPr>
                                <m:sty m:val="p"/>
                              </m:rPr>
                              <w:rPr>
                                <w:rFonts w:ascii="Cambria Math" w:hAnsi="Cambria Math"/>
                              </w:rPr>
                              <m:t xml:space="preserve"> : </m:t>
                            </m:r>
                          </m:e>
                          <m:e>
                            <m:r>
                              <m:rPr>
                                <m:sty m:val="p"/>
                              </m:rPr>
                              <w:rPr>
                                <w:rFonts w:ascii="Cambria Math" w:hAnsi="Cambria Math"/>
                              </w:rPr>
                              <m:t>"ê</m:t>
                            </m:r>
                            <m:r>
                              <w:rPr>
                                <w:rFonts w:ascii="Cambria Math" w:hAnsi="Cambria Math"/>
                              </w:rPr>
                              <m:t>tes</m:t>
                            </m:r>
                            <m:r>
                              <m:rPr>
                                <m:sty m:val="p"/>
                              </m:rPr>
                              <w:rPr>
                                <w:rFonts w:ascii="Cambria Math" w:hAnsi="Cambria Math"/>
                              </w:rPr>
                              <m:t>-</m:t>
                            </m:r>
                            <m:r>
                              <w:rPr>
                                <w:rFonts w:ascii="Cambria Math" w:hAnsi="Cambria Math"/>
                              </w:rPr>
                              <m:t>vous</m:t>
                            </m:r>
                            <m:r>
                              <m:rPr>
                                <m:sty m:val="p"/>
                              </m:rPr>
                              <w:rPr>
                                <w:rFonts w:ascii="Cambria Math" w:hAnsi="Cambria Math"/>
                              </w:rPr>
                              <m:t xml:space="preserve"> </m:t>
                            </m:r>
                            <m:r>
                              <w:rPr>
                                <w:rFonts w:ascii="Cambria Math" w:hAnsi="Cambria Math"/>
                              </w:rPr>
                              <m:t>satisfait</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la</m:t>
                            </m:r>
                            <m:r>
                              <m:rPr>
                                <m:sty m:val="p"/>
                              </m:rPr>
                              <w:rPr>
                                <w:rFonts w:ascii="Cambria Math" w:hAnsi="Cambria Math"/>
                              </w:rPr>
                              <m:t xml:space="preserve"> </m:t>
                            </m:r>
                            <m:r>
                              <w:rPr>
                                <w:rFonts w:ascii="Cambria Math" w:hAnsi="Cambria Math"/>
                              </w:rPr>
                              <m:t>prise</m:t>
                            </m:r>
                            <m:r>
                              <m:rPr>
                                <m:sty m:val="p"/>
                              </m:rPr>
                              <w:rPr>
                                <w:rFonts w:ascii="Cambria Math" w:hAnsi="Cambria Math"/>
                              </w:rPr>
                              <m:t xml:space="preserve"> </m:t>
                            </m:r>
                            <m:r>
                              <w:rPr>
                                <w:rFonts w:ascii="Cambria Math" w:hAnsi="Cambria Math"/>
                              </w:rPr>
                              <m:t>en</m:t>
                            </m:r>
                            <m:r>
                              <m:rPr>
                                <m:sty m:val="p"/>
                              </m:rPr>
                              <w:rPr>
                                <w:rFonts w:ascii="Cambria Math" w:hAnsi="Cambria Math"/>
                              </w:rPr>
                              <m:t xml:space="preserve"> </m:t>
                            </m:r>
                            <m:r>
                              <w:rPr>
                                <w:rFonts w:ascii="Cambria Math" w:hAnsi="Cambria Math"/>
                              </w:rPr>
                              <m:t>charge</m:t>
                            </m:r>
                            <m:r>
                              <m:rPr>
                                <m:sty m:val="p"/>
                              </m:rPr>
                              <w:rPr>
                                <w:rFonts w:ascii="Cambria Math" w:hAnsi="Cambria Math"/>
                              </w:rPr>
                              <m:t>"</m:t>
                            </m:r>
                          </m:e>
                        </m:eqArr>
                      </m:num>
                      <m:den>
                        <m:eqArr>
                          <m:eqArrPr>
                            <m:ctrlPr>
                              <w:rPr>
                                <w:rFonts w:ascii="Cambria Math" w:hAnsi="Cambria Math"/>
                              </w:rPr>
                            </m:ctrlPr>
                          </m:eqArrPr>
                          <m:e>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patients</m:t>
                            </m:r>
                            <m:r>
                              <m:rPr>
                                <m:sty m:val="p"/>
                              </m:rPr>
                              <w:rPr>
                                <w:rFonts w:ascii="Cambria Math" w:hAnsi="Cambria Math"/>
                              </w:rPr>
                              <m:t xml:space="preserve"> </m:t>
                            </m:r>
                            <m:r>
                              <w:rPr>
                                <w:rFonts w:ascii="Cambria Math" w:hAnsi="Cambria Math"/>
                              </w:rPr>
                              <m:t>inclus</m:t>
                            </m:r>
                            <m:r>
                              <m:rPr>
                                <m:sty m:val="p"/>
                              </m:rPr>
                              <w:rPr>
                                <w:rFonts w:ascii="Cambria Math" w:hAnsi="Cambria Math"/>
                              </w:rPr>
                              <m:t xml:space="preserve"> </m:t>
                            </m:r>
                            <m:r>
                              <w:rPr>
                                <w:rFonts w:ascii="Cambria Math" w:hAnsi="Cambria Math"/>
                              </w:rPr>
                              <m:t>ayant</m:t>
                            </m:r>
                            <m:r>
                              <m:rPr>
                                <m:sty m:val="p"/>
                              </m:rPr>
                              <w:rPr>
                                <w:rFonts w:ascii="Cambria Math" w:hAnsi="Cambria Math"/>
                              </w:rPr>
                              <m:t xml:space="preserve"> </m:t>
                            </m:r>
                            <m:r>
                              <w:rPr>
                                <w:rFonts w:ascii="Cambria Math" w:hAnsi="Cambria Math"/>
                              </w:rPr>
                              <m:t>r</m:t>
                            </m:r>
                            <m:r>
                              <m:rPr>
                                <m:sty m:val="p"/>
                              </m:rPr>
                              <w:rPr>
                                <w:rFonts w:ascii="Cambria Math" w:hAnsi="Cambria Math"/>
                              </w:rPr>
                              <m:t>é</m:t>
                            </m:r>
                            <m:r>
                              <w:rPr>
                                <w:rFonts w:ascii="Cambria Math" w:hAnsi="Cambria Math"/>
                              </w:rPr>
                              <m:t>pondu</m:t>
                            </m:r>
                          </m:e>
                          <m:e>
                            <m:r>
                              <w:rPr>
                                <w:rFonts w:ascii="Cambria Math" w:hAnsi="Cambria Math"/>
                              </w:rPr>
                              <m:t>au</m:t>
                            </m:r>
                            <m:r>
                              <m:rPr>
                                <m:sty m:val="p"/>
                              </m:rPr>
                              <w:rPr>
                                <w:rFonts w:ascii="Cambria Math" w:hAnsi="Cambria Math"/>
                              </w:rPr>
                              <m:t xml:space="preserve"> </m:t>
                            </m:r>
                            <m:r>
                              <w:rPr>
                                <w:rFonts w:ascii="Cambria Math" w:hAnsi="Cambria Math"/>
                              </w:rPr>
                              <m:t>questionnaire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satisfaction</m:t>
                            </m:r>
                          </m:e>
                        </m:eqArr>
                      </m:den>
                    </m:f>
                  </m:e>
                </m:box>
              </m:oMath>
            </m:oMathPara>
          </w:p>
        </w:tc>
        <w:tc>
          <w:tcPr>
            <w:tcW w:w="2094" w:type="dxa"/>
            <w:gridSpan w:val="2"/>
            <w:vAlign w:val="center"/>
          </w:tcPr>
          <w:p w14:paraId="43CA32DB" w14:textId="77777777" w:rsidR="00E208BA" w:rsidRPr="00741F25" w:rsidRDefault="00E208BA" w:rsidP="00220EE2">
            <w:pPr>
              <w:rPr>
                <w:sz w:val="21"/>
                <w:szCs w:val="21"/>
              </w:rPr>
            </w:pPr>
          </w:p>
        </w:tc>
        <w:tc>
          <w:tcPr>
            <w:tcW w:w="2163" w:type="dxa"/>
            <w:gridSpan w:val="2"/>
            <w:vAlign w:val="center"/>
          </w:tcPr>
          <w:p w14:paraId="3F0DC956" w14:textId="77777777" w:rsidR="00E208BA" w:rsidRPr="00741F25" w:rsidRDefault="00E208BA" w:rsidP="00220EE2">
            <w:pPr>
              <w:rPr>
                <w:sz w:val="21"/>
                <w:szCs w:val="21"/>
              </w:rPr>
            </w:pPr>
          </w:p>
        </w:tc>
      </w:tr>
      <w:tr w:rsidR="00E208BA" w:rsidRPr="00A24106" w14:paraId="16E48078" w14:textId="77777777" w:rsidTr="00A433AA">
        <w:trPr>
          <w:cantSplit/>
          <w:trHeight w:val="1132"/>
        </w:trPr>
        <w:tc>
          <w:tcPr>
            <w:tcW w:w="714" w:type="dxa"/>
            <w:gridSpan w:val="2"/>
            <w:vMerge/>
            <w:textDirection w:val="btLr"/>
            <w:vAlign w:val="center"/>
          </w:tcPr>
          <w:p w14:paraId="6EB48E6A" w14:textId="77777777" w:rsidR="00E208BA" w:rsidRPr="00741F25" w:rsidRDefault="00E208BA" w:rsidP="00220EE2">
            <w:pPr>
              <w:rPr>
                <w:sz w:val="21"/>
                <w:szCs w:val="21"/>
              </w:rPr>
            </w:pPr>
          </w:p>
        </w:tc>
        <w:tc>
          <w:tcPr>
            <w:tcW w:w="2144" w:type="dxa"/>
            <w:gridSpan w:val="2"/>
            <w:vAlign w:val="center"/>
          </w:tcPr>
          <w:p w14:paraId="1FC87DF5" w14:textId="65E6B3CA" w:rsidR="00E208BA" w:rsidRPr="00741F25" w:rsidRDefault="00E208BA" w:rsidP="00220EE2">
            <w:pPr>
              <w:rPr>
                <w:sz w:val="21"/>
                <w:szCs w:val="21"/>
              </w:rPr>
            </w:pPr>
            <w:r w:rsidRPr="00741F25">
              <w:rPr>
                <w:sz w:val="21"/>
                <w:szCs w:val="21"/>
              </w:rPr>
              <w:t>Taux de satisfaction des pharmaciens et des infirmiers</w:t>
            </w:r>
          </w:p>
        </w:tc>
        <w:tc>
          <w:tcPr>
            <w:tcW w:w="2084" w:type="dxa"/>
            <w:gridSpan w:val="2"/>
            <w:vAlign w:val="center"/>
          </w:tcPr>
          <w:p w14:paraId="6994E6CF" w14:textId="03F9985D" w:rsidR="00E208BA" w:rsidRPr="00741F25" w:rsidRDefault="00E208BA" w:rsidP="00220EE2">
            <w:pPr>
              <w:rPr>
                <w:sz w:val="21"/>
                <w:szCs w:val="21"/>
              </w:rPr>
            </w:pPr>
            <w:r w:rsidRPr="00741F25">
              <w:rPr>
                <w:sz w:val="21"/>
                <w:szCs w:val="21"/>
              </w:rPr>
              <w:t>Tendre vers 100%</w:t>
            </w:r>
          </w:p>
        </w:tc>
        <w:tc>
          <w:tcPr>
            <w:tcW w:w="4926" w:type="dxa"/>
            <w:vAlign w:val="center"/>
          </w:tcPr>
          <w:p w14:paraId="106785FE" w14:textId="2FAC0B5C" w:rsidR="00E208BA" w:rsidRPr="00AF3240" w:rsidRDefault="00323535" w:rsidP="00220EE2">
            <w:pPr>
              <w:rPr>
                <w:rFonts w:ascii="Calibri" w:eastAsia="Calibri" w:hAnsi="Calibri" w:cs="Times New Roman"/>
              </w:rPr>
            </w:pPr>
            <m:oMathPara>
              <m:oMath>
                <m:box>
                  <m:boxPr>
                    <m:ctrlPr>
                      <w:rPr>
                        <w:rFonts w:ascii="Cambria Math" w:hAnsi="Cambria Math"/>
                      </w:rPr>
                    </m:ctrlPr>
                  </m:boxPr>
                  <m:e>
                    <m:argPr>
                      <m:argSz m:val="-1"/>
                    </m:argPr>
                    <m:f>
                      <m:fPr>
                        <m:ctrlPr>
                          <w:rPr>
                            <w:rFonts w:ascii="Cambria Math" w:hAnsi="Cambria Math"/>
                          </w:rPr>
                        </m:ctrlPr>
                      </m:fPr>
                      <m:num>
                        <m:eqArr>
                          <m:eqArrPr>
                            <m:ctrlPr>
                              <w:rPr>
                                <w:rFonts w:ascii="Cambria Math" w:hAnsi="Cambria Math"/>
                              </w:rPr>
                            </m:ctrlPr>
                          </m:eqArrPr>
                          <m:e>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pharmacien</m:t>
                            </m:r>
                            <m:r>
                              <m:rPr>
                                <m:sty m:val="p"/>
                              </m:rPr>
                              <w:rPr>
                                <w:rFonts w:ascii="Cambria Math" w:hAnsi="Cambria Math"/>
                              </w:rPr>
                              <m:t xml:space="preserve"> </m:t>
                            </m:r>
                            <m:r>
                              <w:rPr>
                                <w:rFonts w:ascii="Cambria Math" w:hAnsi="Cambria Math"/>
                              </w:rPr>
                              <m:t>et</m:t>
                            </m:r>
                            <m:r>
                              <m:rPr>
                                <m:sty m:val="p"/>
                              </m:rPr>
                              <w:rPr>
                                <w:rFonts w:ascii="Cambria Math" w:hAnsi="Cambria Math"/>
                              </w:rPr>
                              <m:t xml:space="preserve"> </m:t>
                            </m:r>
                            <m:sSup>
                              <m:sSupPr>
                                <m:ctrlPr>
                                  <w:rPr>
                                    <w:rFonts w:ascii="Cambria Math" w:hAnsi="Cambria Math"/>
                                  </w:rPr>
                                </m:ctrlPr>
                              </m:sSupPr>
                              <m:e>
                                <m:r>
                                  <w:rPr>
                                    <w:rFonts w:ascii="Cambria Math" w:hAnsi="Cambria Math"/>
                                  </w:rPr>
                                  <m:t>d</m:t>
                                </m:r>
                              </m:e>
                              <m:sup>
                                <m:r>
                                  <m:rPr>
                                    <m:sty m:val="p"/>
                                  </m:rPr>
                                  <w:rPr>
                                    <w:rFonts w:ascii="Cambria Math" w:hAnsi="Cambria Math"/>
                                  </w:rPr>
                                  <m:t>'</m:t>
                                </m:r>
                              </m:sup>
                            </m:sSup>
                            <m:r>
                              <w:rPr>
                                <w:rFonts w:ascii="Cambria Math" w:hAnsi="Cambria Math"/>
                              </w:rPr>
                              <m:t>infirmier</m:t>
                            </m:r>
                            <m:r>
                              <m:rPr>
                                <m:sty m:val="p"/>
                              </m:rPr>
                              <w:rPr>
                                <w:rFonts w:ascii="Cambria Math" w:hAnsi="Cambria Math"/>
                              </w:rPr>
                              <m:t xml:space="preserve"> </m:t>
                            </m:r>
                          </m:e>
                          <m:e>
                            <m:r>
                              <w:rPr>
                                <w:rFonts w:ascii="Cambria Math" w:hAnsi="Cambria Math"/>
                              </w:rPr>
                              <m:t>ayant</m:t>
                            </m:r>
                            <m:r>
                              <m:rPr>
                                <m:sty m:val="p"/>
                              </m:rPr>
                              <w:rPr>
                                <w:rFonts w:ascii="Cambria Math" w:hAnsi="Cambria Math"/>
                              </w:rPr>
                              <m:t xml:space="preserve"> </m:t>
                            </m:r>
                            <m:r>
                              <w:rPr>
                                <w:rFonts w:ascii="Cambria Math" w:hAnsi="Cambria Math"/>
                              </w:rPr>
                              <m:t>r</m:t>
                            </m:r>
                            <m:r>
                              <m:rPr>
                                <m:sty m:val="p"/>
                              </m:rPr>
                              <w:rPr>
                                <w:rFonts w:ascii="Cambria Math" w:hAnsi="Cambria Math"/>
                              </w:rPr>
                              <m:t>é</m:t>
                            </m:r>
                            <m:r>
                              <w:rPr>
                                <w:rFonts w:ascii="Cambria Math" w:hAnsi="Cambria Math"/>
                              </w:rPr>
                              <m:t>pondu</m:t>
                            </m:r>
                            <m:r>
                              <m:rPr>
                                <m:sty m:val="p"/>
                              </m:rPr>
                              <w:rPr>
                                <w:rFonts w:ascii="Cambria Math" w:hAnsi="Cambria Math"/>
                              </w:rPr>
                              <m:t xml:space="preserve"> "</m:t>
                            </m:r>
                            <m:r>
                              <m:rPr>
                                <m:nor/>
                              </m:rPr>
                              <m:t xml:space="preserve">oui" </m:t>
                            </m:r>
                            <m:r>
                              <m:rPr>
                                <m:sty m:val="p"/>
                              </m:rPr>
                              <w:rPr>
                                <w:rFonts w:ascii="Cambria Math" w:hAnsi="Cambria Math"/>
                              </w:rPr>
                              <m:t xml:space="preserve">à </m:t>
                            </m:r>
                            <m:r>
                              <w:rPr>
                                <w:rFonts w:ascii="Cambria Math" w:hAnsi="Cambria Math"/>
                              </w:rPr>
                              <m:t>la</m:t>
                            </m:r>
                            <m:r>
                              <m:rPr>
                                <m:sty m:val="p"/>
                              </m:rPr>
                              <w:rPr>
                                <w:rFonts w:ascii="Cambria Math" w:hAnsi="Cambria Math"/>
                              </w:rPr>
                              <m:t xml:space="preserve"> </m:t>
                            </m:r>
                            <m:r>
                              <w:rPr>
                                <w:rFonts w:ascii="Cambria Math" w:hAnsi="Cambria Math"/>
                              </w:rPr>
                              <m:t>question</m:t>
                            </m:r>
                            <m:r>
                              <m:rPr>
                                <m:sty m:val="p"/>
                              </m:rPr>
                              <w:rPr>
                                <w:rFonts w:ascii="Cambria Math" w:hAnsi="Cambria Math"/>
                              </w:rPr>
                              <m:t xml:space="preserve"> : </m:t>
                            </m:r>
                            <m:ctrlPr>
                              <w:rPr>
                                <w:rFonts w:ascii="Cambria Math" w:eastAsia="Cambria Math" w:hAnsi="Cambria Math" w:cs="Cambria Math"/>
                              </w:rPr>
                            </m:ctrlPr>
                          </m:e>
                          <m:e>
                            <m:r>
                              <m:rPr>
                                <m:sty m:val="p"/>
                              </m:rPr>
                              <w:rPr>
                                <w:rFonts w:ascii="Cambria Math" w:hAnsi="Cambria Math"/>
                              </w:rPr>
                              <m:t>"ê</m:t>
                            </m:r>
                            <m:r>
                              <w:rPr>
                                <w:rFonts w:ascii="Cambria Math" w:hAnsi="Cambria Math"/>
                              </w:rPr>
                              <m:t>tes</m:t>
                            </m:r>
                            <m:r>
                              <m:rPr>
                                <m:sty m:val="p"/>
                              </m:rPr>
                              <w:rPr>
                                <w:rFonts w:ascii="Cambria Math" w:hAnsi="Cambria Math"/>
                              </w:rPr>
                              <m:t>-</m:t>
                            </m:r>
                            <m:r>
                              <w:rPr>
                                <w:rFonts w:ascii="Cambria Math" w:hAnsi="Cambria Math"/>
                              </w:rPr>
                              <m:t>vous</m:t>
                            </m:r>
                            <m:r>
                              <m:rPr>
                                <m:sty m:val="p"/>
                              </m:rPr>
                              <w:rPr>
                                <w:rFonts w:ascii="Cambria Math" w:hAnsi="Cambria Math"/>
                              </w:rPr>
                              <m:t xml:space="preserve"> </m:t>
                            </m:r>
                            <m:r>
                              <w:rPr>
                                <w:rFonts w:ascii="Cambria Math" w:hAnsi="Cambria Math"/>
                              </w:rPr>
                              <m:t>satisfait</m:t>
                            </m:r>
                            <m:r>
                              <m:rPr>
                                <m:sty m:val="p"/>
                              </m:rPr>
                              <w:rPr>
                                <w:rFonts w:ascii="Cambria Math" w:hAnsi="Cambria Math"/>
                              </w:rPr>
                              <m:t xml:space="preserve"> </m:t>
                            </m:r>
                            <m:r>
                              <w:rPr>
                                <w:rFonts w:ascii="Cambria Math" w:hAnsi="Cambria Math"/>
                              </w:rPr>
                              <m:t>du</m:t>
                            </m:r>
                            <m:r>
                              <m:rPr>
                                <m:sty m:val="p"/>
                              </m:rPr>
                              <w:rPr>
                                <w:rFonts w:ascii="Cambria Math" w:hAnsi="Cambria Math"/>
                              </w:rPr>
                              <m:t xml:space="preserve"> </m:t>
                            </m:r>
                            <m:r>
                              <w:rPr>
                                <w:rFonts w:ascii="Cambria Math" w:hAnsi="Cambria Math"/>
                              </w:rPr>
                              <m:t>protocole</m:t>
                            </m:r>
                            <m:r>
                              <m:rPr>
                                <m:sty m:val="p"/>
                              </m:rPr>
                              <w:rPr>
                                <w:rFonts w:ascii="Cambria Math" w:hAnsi="Cambria Math"/>
                              </w:rPr>
                              <m:t>"</m:t>
                            </m:r>
                          </m:e>
                        </m:eqArr>
                      </m:num>
                      <m:den>
                        <m:eqArr>
                          <m:eqArrPr>
                            <m:ctrlPr>
                              <w:rPr>
                                <w:rFonts w:ascii="Cambria Math" w:hAnsi="Cambria Math"/>
                              </w:rPr>
                            </m:ctrlPr>
                          </m:eqArrPr>
                          <m:e>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pharmaciens</m:t>
                            </m:r>
                            <m:r>
                              <m:rPr>
                                <m:sty m:val="p"/>
                              </m:rPr>
                              <w:rPr>
                                <w:rFonts w:ascii="Cambria Math" w:hAnsi="Cambria Math"/>
                              </w:rPr>
                              <m:t xml:space="preserve"> </m:t>
                            </m:r>
                            <m:r>
                              <w:rPr>
                                <w:rFonts w:ascii="Cambria Math" w:hAnsi="Cambria Math"/>
                              </w:rPr>
                              <m:t>et</m:t>
                            </m:r>
                            <m:r>
                              <m:rPr>
                                <m:sty m:val="p"/>
                              </m:rPr>
                              <w:rPr>
                                <w:rFonts w:ascii="Cambria Math" w:hAnsi="Cambria Math"/>
                              </w:rPr>
                              <m:t xml:space="preserve"> </m:t>
                            </m:r>
                            <m:sSup>
                              <m:sSupPr>
                                <m:ctrlPr>
                                  <w:rPr>
                                    <w:rFonts w:ascii="Cambria Math" w:hAnsi="Cambria Math"/>
                                  </w:rPr>
                                </m:ctrlPr>
                              </m:sSupPr>
                              <m:e>
                                <m:r>
                                  <w:rPr>
                                    <w:rFonts w:ascii="Cambria Math" w:hAnsi="Cambria Math"/>
                                  </w:rPr>
                                  <m:t>d</m:t>
                                </m:r>
                              </m:e>
                              <m:sup>
                                <m:r>
                                  <m:rPr>
                                    <m:sty m:val="p"/>
                                  </m:rPr>
                                  <w:rPr>
                                    <w:rFonts w:ascii="Cambria Math" w:hAnsi="Cambria Math"/>
                                  </w:rPr>
                                  <m:t>'</m:t>
                                </m:r>
                              </m:sup>
                            </m:sSup>
                            <m:r>
                              <w:rPr>
                                <w:rFonts w:ascii="Cambria Math" w:hAnsi="Cambria Math"/>
                              </w:rPr>
                              <m:t>infirmiers</m:t>
                            </m:r>
                            <m:r>
                              <m:rPr>
                                <m:sty m:val="p"/>
                              </m:rPr>
                              <w:rPr>
                                <w:rFonts w:ascii="Cambria Math" w:hAnsi="Cambria Math"/>
                              </w:rPr>
                              <m:t xml:space="preserve"> </m:t>
                            </m:r>
                            <m:r>
                              <w:rPr>
                                <w:rFonts w:ascii="Cambria Math" w:hAnsi="Cambria Math"/>
                              </w:rPr>
                              <m:t>ayant</m:t>
                            </m:r>
                            <m:r>
                              <m:rPr>
                                <m:sty m:val="p"/>
                              </m:rPr>
                              <w:rPr>
                                <w:rFonts w:ascii="Cambria Math" w:hAnsi="Cambria Math"/>
                              </w:rPr>
                              <m:t xml:space="preserve"> </m:t>
                            </m:r>
                            <m:r>
                              <w:rPr>
                                <w:rFonts w:ascii="Cambria Math" w:hAnsi="Cambria Math"/>
                              </w:rPr>
                              <m:t>r</m:t>
                            </m:r>
                            <m:r>
                              <m:rPr>
                                <m:sty m:val="p"/>
                              </m:rPr>
                              <w:rPr>
                                <w:rFonts w:ascii="Cambria Math" w:hAnsi="Cambria Math"/>
                              </w:rPr>
                              <m:t>é</m:t>
                            </m:r>
                            <m:r>
                              <w:rPr>
                                <w:rFonts w:ascii="Cambria Math" w:hAnsi="Cambria Math"/>
                              </w:rPr>
                              <m:t>pondu</m:t>
                            </m:r>
                          </m:e>
                          <m:e>
                            <m:r>
                              <w:rPr>
                                <w:rFonts w:ascii="Cambria Math" w:hAnsi="Cambria Math"/>
                              </w:rPr>
                              <m:t>au</m:t>
                            </m:r>
                            <m:r>
                              <m:rPr>
                                <m:sty m:val="p"/>
                              </m:rPr>
                              <w:rPr>
                                <w:rFonts w:ascii="Cambria Math" w:hAnsi="Cambria Math"/>
                              </w:rPr>
                              <m:t xml:space="preserve"> </m:t>
                            </m:r>
                            <m:r>
                              <w:rPr>
                                <w:rFonts w:ascii="Cambria Math" w:hAnsi="Cambria Math"/>
                              </w:rPr>
                              <m:t>questionnaire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satisfaction</m:t>
                            </m:r>
                          </m:e>
                        </m:eqArr>
                      </m:den>
                    </m:f>
                  </m:e>
                </m:box>
              </m:oMath>
            </m:oMathPara>
          </w:p>
        </w:tc>
        <w:tc>
          <w:tcPr>
            <w:tcW w:w="2094" w:type="dxa"/>
            <w:gridSpan w:val="2"/>
            <w:vAlign w:val="center"/>
          </w:tcPr>
          <w:p w14:paraId="6E8C1F3D" w14:textId="77777777" w:rsidR="00E208BA" w:rsidRPr="00741F25" w:rsidRDefault="00E208BA" w:rsidP="00220EE2">
            <w:pPr>
              <w:rPr>
                <w:sz w:val="21"/>
                <w:szCs w:val="21"/>
              </w:rPr>
            </w:pPr>
          </w:p>
        </w:tc>
        <w:tc>
          <w:tcPr>
            <w:tcW w:w="2163" w:type="dxa"/>
            <w:gridSpan w:val="2"/>
            <w:vAlign w:val="center"/>
          </w:tcPr>
          <w:p w14:paraId="10974952" w14:textId="77777777" w:rsidR="00E208BA" w:rsidRPr="00741F25" w:rsidRDefault="00E208BA" w:rsidP="00220EE2">
            <w:pPr>
              <w:rPr>
                <w:sz w:val="21"/>
                <w:szCs w:val="21"/>
              </w:rPr>
            </w:pPr>
          </w:p>
        </w:tc>
      </w:tr>
      <w:tr w:rsidR="00E208BA" w:rsidRPr="00A24106" w14:paraId="0591C4E0" w14:textId="77777777" w:rsidTr="00A433AA">
        <w:trPr>
          <w:cantSplit/>
          <w:trHeight w:val="1132"/>
        </w:trPr>
        <w:tc>
          <w:tcPr>
            <w:tcW w:w="714" w:type="dxa"/>
            <w:gridSpan w:val="2"/>
            <w:vMerge/>
            <w:textDirection w:val="btLr"/>
            <w:vAlign w:val="center"/>
          </w:tcPr>
          <w:p w14:paraId="3B6F6292" w14:textId="77777777" w:rsidR="00E208BA" w:rsidRDefault="00E208BA" w:rsidP="00220EE2"/>
        </w:tc>
        <w:tc>
          <w:tcPr>
            <w:tcW w:w="2144" w:type="dxa"/>
            <w:gridSpan w:val="2"/>
            <w:vAlign w:val="center"/>
          </w:tcPr>
          <w:p w14:paraId="3B2559D3" w14:textId="60575E9D" w:rsidR="00E208BA" w:rsidRPr="00741F25" w:rsidRDefault="00E208BA" w:rsidP="00220EE2">
            <w:pPr>
              <w:rPr>
                <w:sz w:val="21"/>
                <w:szCs w:val="21"/>
              </w:rPr>
            </w:pPr>
            <w:r w:rsidRPr="00741F25">
              <w:rPr>
                <w:sz w:val="21"/>
                <w:szCs w:val="21"/>
              </w:rPr>
              <w:t>Taux de satisfaction des médecins généralistes</w:t>
            </w:r>
          </w:p>
        </w:tc>
        <w:tc>
          <w:tcPr>
            <w:tcW w:w="2084" w:type="dxa"/>
            <w:gridSpan w:val="2"/>
            <w:vAlign w:val="center"/>
          </w:tcPr>
          <w:p w14:paraId="22F3C4E0" w14:textId="57ACE5E7" w:rsidR="00E208BA" w:rsidRPr="00741F25" w:rsidRDefault="00E208BA" w:rsidP="00220EE2">
            <w:pPr>
              <w:rPr>
                <w:sz w:val="21"/>
                <w:szCs w:val="21"/>
              </w:rPr>
            </w:pPr>
            <w:r w:rsidRPr="00741F25">
              <w:rPr>
                <w:sz w:val="21"/>
                <w:szCs w:val="21"/>
              </w:rPr>
              <w:t>Tendre vers 100%</w:t>
            </w:r>
          </w:p>
        </w:tc>
        <w:tc>
          <w:tcPr>
            <w:tcW w:w="4926" w:type="dxa"/>
            <w:vAlign w:val="center"/>
          </w:tcPr>
          <w:p w14:paraId="7CD49B50" w14:textId="1E3AFEFE" w:rsidR="00E208BA" w:rsidRPr="00AF3240" w:rsidRDefault="00323535" w:rsidP="00220EE2">
            <w:pPr>
              <w:rPr>
                <w:rFonts w:ascii="Calibri" w:eastAsia="Calibri" w:hAnsi="Calibri" w:cs="Times New Roman"/>
              </w:rPr>
            </w:pPr>
            <m:oMathPara>
              <m:oMath>
                <m:box>
                  <m:boxPr>
                    <m:ctrlPr>
                      <w:rPr>
                        <w:rFonts w:ascii="Cambria Math" w:hAnsi="Cambria Math"/>
                      </w:rPr>
                    </m:ctrlPr>
                  </m:boxPr>
                  <m:e>
                    <m:argPr>
                      <m:argSz m:val="-1"/>
                    </m:argPr>
                    <m:f>
                      <m:fPr>
                        <m:ctrlPr>
                          <w:rPr>
                            <w:rFonts w:ascii="Cambria Math" w:hAnsi="Cambria Math"/>
                          </w:rPr>
                        </m:ctrlPr>
                      </m:fPr>
                      <m:num>
                        <m:eqArr>
                          <m:eqArrPr>
                            <m:ctrlPr>
                              <w:rPr>
                                <w:rFonts w:ascii="Cambria Math" w:hAnsi="Cambria Math"/>
                              </w:rPr>
                            </m:ctrlPr>
                          </m:eqArrPr>
                          <m:e>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m</m:t>
                            </m:r>
                            <m:r>
                              <m:rPr>
                                <m:sty m:val="p"/>
                              </m:rPr>
                              <w:rPr>
                                <w:rFonts w:ascii="Cambria Math" w:hAnsi="Cambria Math"/>
                              </w:rPr>
                              <m:t>é</m:t>
                            </m:r>
                            <m:r>
                              <w:rPr>
                                <w:rFonts w:ascii="Cambria Math" w:hAnsi="Cambria Math"/>
                              </w:rPr>
                              <m:t>decins</m:t>
                            </m:r>
                            <m:r>
                              <m:rPr>
                                <m:sty m:val="p"/>
                              </m:rPr>
                              <w:rPr>
                                <w:rFonts w:ascii="Cambria Math" w:hAnsi="Cambria Math"/>
                              </w:rPr>
                              <m:t xml:space="preserve"> </m:t>
                            </m:r>
                            <m:r>
                              <w:rPr>
                                <w:rFonts w:ascii="Cambria Math" w:hAnsi="Cambria Math"/>
                              </w:rPr>
                              <m:t>ayant</m:t>
                            </m:r>
                            <m:r>
                              <m:rPr>
                                <m:sty m:val="p"/>
                              </m:rPr>
                              <w:rPr>
                                <w:rFonts w:ascii="Cambria Math" w:hAnsi="Cambria Math"/>
                              </w:rPr>
                              <m:t xml:space="preserve"> </m:t>
                            </m:r>
                            <m:r>
                              <w:rPr>
                                <w:rFonts w:ascii="Cambria Math" w:hAnsi="Cambria Math"/>
                              </w:rPr>
                              <m:t>r</m:t>
                            </m:r>
                            <m:r>
                              <m:rPr>
                                <m:sty m:val="p"/>
                              </m:rPr>
                              <w:rPr>
                                <w:rFonts w:ascii="Cambria Math" w:hAnsi="Cambria Math"/>
                              </w:rPr>
                              <m:t>é</m:t>
                            </m:r>
                            <m:r>
                              <w:rPr>
                                <w:rFonts w:ascii="Cambria Math" w:hAnsi="Cambria Math"/>
                              </w:rPr>
                              <m:t>pondu</m:t>
                            </m:r>
                            <m:r>
                              <m:rPr>
                                <m:sty m:val="p"/>
                              </m:rPr>
                              <w:rPr>
                                <w:rFonts w:ascii="Cambria Math" w:hAnsi="Cambria Math"/>
                              </w:rPr>
                              <m:t xml:space="preserve"> "</m:t>
                            </m:r>
                            <m:r>
                              <m:rPr>
                                <m:nor/>
                              </m:rPr>
                              <m:t xml:space="preserve">oui" </m:t>
                            </m:r>
                            <m:r>
                              <m:rPr>
                                <m:sty m:val="p"/>
                              </m:rPr>
                              <w:rPr>
                                <w:rFonts w:ascii="Cambria Math" w:hAnsi="Cambria Math"/>
                              </w:rPr>
                              <m:t xml:space="preserve">à </m:t>
                            </m:r>
                            <m:r>
                              <w:rPr>
                                <w:rFonts w:ascii="Cambria Math" w:hAnsi="Cambria Math"/>
                              </w:rPr>
                              <m:t>la</m:t>
                            </m:r>
                            <m:r>
                              <m:rPr>
                                <m:sty m:val="p"/>
                              </m:rPr>
                              <w:rPr>
                                <w:rFonts w:ascii="Cambria Math" w:hAnsi="Cambria Math"/>
                              </w:rPr>
                              <m:t xml:space="preserve"> </m:t>
                            </m:r>
                            <m:r>
                              <w:rPr>
                                <w:rFonts w:ascii="Cambria Math" w:hAnsi="Cambria Math"/>
                              </w:rPr>
                              <m:t>question</m:t>
                            </m:r>
                            <m:r>
                              <m:rPr>
                                <m:sty m:val="p"/>
                              </m:rPr>
                              <w:rPr>
                                <w:rFonts w:ascii="Cambria Math" w:hAnsi="Cambria Math"/>
                              </w:rPr>
                              <m:t xml:space="preserve"> : </m:t>
                            </m:r>
                          </m:e>
                          <m:e>
                            <m:r>
                              <m:rPr>
                                <m:sty m:val="p"/>
                              </m:rPr>
                              <w:rPr>
                                <w:rFonts w:ascii="Cambria Math" w:hAnsi="Cambria Math"/>
                              </w:rPr>
                              <m:t>"ê</m:t>
                            </m:r>
                            <m:r>
                              <w:rPr>
                                <w:rFonts w:ascii="Cambria Math" w:hAnsi="Cambria Math"/>
                              </w:rPr>
                              <m:t>tes</m:t>
                            </m:r>
                            <m:r>
                              <m:rPr>
                                <m:sty m:val="p"/>
                              </m:rPr>
                              <w:rPr>
                                <w:rFonts w:ascii="Cambria Math" w:hAnsi="Cambria Math"/>
                              </w:rPr>
                              <m:t>-</m:t>
                            </m:r>
                            <m:r>
                              <w:rPr>
                                <w:rFonts w:ascii="Cambria Math" w:hAnsi="Cambria Math"/>
                              </w:rPr>
                              <m:t>vous</m:t>
                            </m:r>
                            <m:r>
                              <m:rPr>
                                <m:sty m:val="p"/>
                              </m:rPr>
                              <w:rPr>
                                <w:rFonts w:ascii="Cambria Math" w:hAnsi="Cambria Math"/>
                              </w:rPr>
                              <m:t xml:space="preserve"> </m:t>
                            </m:r>
                            <m:r>
                              <w:rPr>
                                <w:rFonts w:ascii="Cambria Math" w:hAnsi="Cambria Math"/>
                              </w:rPr>
                              <m:t>satisfait</m:t>
                            </m:r>
                            <m:r>
                              <m:rPr>
                                <m:sty m:val="p"/>
                              </m:rPr>
                              <w:rPr>
                                <w:rFonts w:ascii="Cambria Math" w:hAnsi="Cambria Math"/>
                              </w:rPr>
                              <m:t xml:space="preserve"> </m:t>
                            </m:r>
                            <m:r>
                              <w:rPr>
                                <w:rFonts w:ascii="Cambria Math" w:hAnsi="Cambria Math"/>
                              </w:rPr>
                              <m:t>du</m:t>
                            </m:r>
                            <m:r>
                              <m:rPr>
                                <m:sty m:val="p"/>
                              </m:rPr>
                              <w:rPr>
                                <w:rFonts w:ascii="Cambria Math" w:hAnsi="Cambria Math"/>
                              </w:rPr>
                              <m:t xml:space="preserve"> </m:t>
                            </m:r>
                            <m:r>
                              <w:rPr>
                                <w:rFonts w:ascii="Cambria Math" w:hAnsi="Cambria Math"/>
                              </w:rPr>
                              <m:t>protocole</m:t>
                            </m:r>
                            <m:r>
                              <m:rPr>
                                <m:sty m:val="p"/>
                              </m:rPr>
                              <w:rPr>
                                <w:rFonts w:ascii="Cambria Math" w:hAnsi="Cambria Math"/>
                              </w:rPr>
                              <m:t>"</m:t>
                            </m:r>
                          </m:e>
                        </m:eqArr>
                      </m:num>
                      <m:den>
                        <m:eqArr>
                          <m:eqArrPr>
                            <m:ctrlPr>
                              <w:rPr>
                                <w:rFonts w:ascii="Cambria Math" w:hAnsi="Cambria Math"/>
                              </w:rPr>
                            </m:ctrlPr>
                          </m:eqArrPr>
                          <m:e>
                            <m:r>
                              <w:rPr>
                                <w:rFonts w:ascii="Cambria Math" w:hAnsi="Cambria Math"/>
                              </w:rPr>
                              <m:t>Nombre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m</m:t>
                            </m:r>
                            <m:r>
                              <m:rPr>
                                <m:sty m:val="p"/>
                              </m:rPr>
                              <w:rPr>
                                <w:rFonts w:ascii="Cambria Math" w:hAnsi="Cambria Math"/>
                              </w:rPr>
                              <m:t>é</m:t>
                            </m:r>
                            <m:r>
                              <w:rPr>
                                <w:rFonts w:ascii="Cambria Math" w:hAnsi="Cambria Math"/>
                              </w:rPr>
                              <m:t>decins</m:t>
                            </m:r>
                            <m:r>
                              <m:rPr>
                                <m:sty m:val="p"/>
                              </m:rPr>
                              <w:rPr>
                                <w:rFonts w:ascii="Cambria Math" w:hAnsi="Cambria Math"/>
                              </w:rPr>
                              <m:t xml:space="preserve"> </m:t>
                            </m:r>
                            <m:r>
                              <w:rPr>
                                <w:rFonts w:ascii="Cambria Math" w:hAnsi="Cambria Math"/>
                              </w:rPr>
                              <m:t>ayant</m:t>
                            </m:r>
                            <m:r>
                              <m:rPr>
                                <m:sty m:val="p"/>
                              </m:rPr>
                              <w:rPr>
                                <w:rFonts w:ascii="Cambria Math" w:hAnsi="Cambria Math"/>
                              </w:rPr>
                              <m:t xml:space="preserve"> </m:t>
                            </m:r>
                            <m:r>
                              <w:rPr>
                                <w:rFonts w:ascii="Cambria Math" w:hAnsi="Cambria Math"/>
                              </w:rPr>
                              <m:t>r</m:t>
                            </m:r>
                            <m:r>
                              <m:rPr>
                                <m:sty m:val="p"/>
                              </m:rPr>
                              <w:rPr>
                                <w:rFonts w:ascii="Cambria Math" w:hAnsi="Cambria Math"/>
                              </w:rPr>
                              <m:t>é</m:t>
                            </m:r>
                            <m:r>
                              <w:rPr>
                                <w:rFonts w:ascii="Cambria Math" w:hAnsi="Cambria Math"/>
                              </w:rPr>
                              <m:t>pondu</m:t>
                            </m:r>
                          </m:e>
                          <m:e>
                            <m:r>
                              <w:rPr>
                                <w:rFonts w:ascii="Cambria Math" w:hAnsi="Cambria Math"/>
                              </w:rPr>
                              <m:t>au</m:t>
                            </m:r>
                            <m:r>
                              <m:rPr>
                                <m:sty m:val="p"/>
                              </m:rPr>
                              <w:rPr>
                                <w:rFonts w:ascii="Cambria Math" w:hAnsi="Cambria Math"/>
                              </w:rPr>
                              <m:t xml:space="preserve"> </m:t>
                            </m:r>
                            <m:r>
                              <w:rPr>
                                <w:rFonts w:ascii="Cambria Math" w:hAnsi="Cambria Math"/>
                              </w:rPr>
                              <m:t>questionnaire</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satisfaction</m:t>
                            </m:r>
                          </m:e>
                        </m:eqArr>
                      </m:den>
                    </m:f>
                  </m:e>
                </m:box>
              </m:oMath>
            </m:oMathPara>
          </w:p>
        </w:tc>
        <w:tc>
          <w:tcPr>
            <w:tcW w:w="2094" w:type="dxa"/>
            <w:gridSpan w:val="2"/>
            <w:vAlign w:val="center"/>
          </w:tcPr>
          <w:p w14:paraId="03575962" w14:textId="77777777" w:rsidR="00E208BA" w:rsidRPr="00741F25" w:rsidRDefault="00E208BA" w:rsidP="00220EE2">
            <w:pPr>
              <w:rPr>
                <w:sz w:val="21"/>
                <w:szCs w:val="21"/>
              </w:rPr>
            </w:pPr>
          </w:p>
        </w:tc>
        <w:tc>
          <w:tcPr>
            <w:tcW w:w="2163" w:type="dxa"/>
            <w:gridSpan w:val="2"/>
            <w:vAlign w:val="center"/>
          </w:tcPr>
          <w:p w14:paraId="490CA7E4" w14:textId="77777777" w:rsidR="00E208BA" w:rsidRPr="00741F25" w:rsidRDefault="00E208BA" w:rsidP="00220EE2">
            <w:pPr>
              <w:rPr>
                <w:sz w:val="21"/>
                <w:szCs w:val="21"/>
              </w:rPr>
            </w:pPr>
          </w:p>
        </w:tc>
      </w:tr>
    </w:tbl>
    <w:p w14:paraId="45DE86F2" w14:textId="77777777" w:rsidR="00A01EEC" w:rsidRDefault="00A01EEC" w:rsidP="00A01EEC">
      <w:pPr>
        <w:sectPr w:rsidR="00A01EEC" w:rsidSect="002275B8">
          <w:pgSz w:w="16838" w:h="11906" w:orient="landscape"/>
          <w:pgMar w:top="1417" w:right="1417" w:bottom="1417" w:left="1417" w:header="708" w:footer="708" w:gutter="0"/>
          <w:cols w:space="708"/>
          <w:docGrid w:linePitch="360"/>
        </w:sectPr>
      </w:pPr>
    </w:p>
    <w:p w14:paraId="624B3B6F" w14:textId="77777777" w:rsidR="00A01EEC" w:rsidRDefault="00A01EEC" w:rsidP="00A01EEC">
      <w:pPr>
        <w:pStyle w:val="Titre"/>
      </w:pPr>
      <w:r>
        <w:lastRenderedPageBreak/>
        <w:t>Informations de traçabilité du document</w:t>
      </w:r>
    </w:p>
    <w:p w14:paraId="7B33FC52" w14:textId="77777777" w:rsidR="00A01EEC" w:rsidRPr="00E16EC1" w:rsidRDefault="00A01EEC" w:rsidP="00A01EEC"/>
    <w:tbl>
      <w:tblPr>
        <w:tblStyle w:val="Grilledutableau"/>
        <w:tblW w:w="0" w:type="auto"/>
        <w:tblLook w:val="04A0" w:firstRow="1" w:lastRow="0" w:firstColumn="1" w:lastColumn="0" w:noHBand="0" w:noVBand="1"/>
      </w:tblPr>
      <w:tblGrid>
        <w:gridCol w:w="4531"/>
        <w:gridCol w:w="4531"/>
      </w:tblGrid>
      <w:tr w:rsidR="00A01EEC" w14:paraId="0CCE41BA" w14:textId="77777777" w:rsidTr="009E10FA">
        <w:tc>
          <w:tcPr>
            <w:tcW w:w="4531" w:type="dxa"/>
            <w:vAlign w:val="center"/>
          </w:tcPr>
          <w:p w14:paraId="1463BE51" w14:textId="77777777" w:rsidR="00A01EEC" w:rsidRPr="00E16EC1" w:rsidRDefault="00A01EEC" w:rsidP="009E10FA">
            <w:pPr>
              <w:jc w:val="center"/>
              <w:rPr>
                <w:b/>
                <w:bCs/>
              </w:rPr>
            </w:pPr>
            <w:r w:rsidRPr="00E16EC1">
              <w:rPr>
                <w:b/>
                <w:bCs/>
              </w:rPr>
              <w:t>Nom de la structure pluriprofessionnelle</w:t>
            </w:r>
          </w:p>
        </w:tc>
        <w:tc>
          <w:tcPr>
            <w:tcW w:w="4531" w:type="dxa"/>
            <w:vAlign w:val="center"/>
          </w:tcPr>
          <w:p w14:paraId="5188EBE3" w14:textId="77777777" w:rsidR="00A01EEC" w:rsidRDefault="00A01EEC" w:rsidP="009E10FA">
            <w:pPr>
              <w:jc w:val="center"/>
            </w:pPr>
          </w:p>
        </w:tc>
      </w:tr>
      <w:tr w:rsidR="00A01EEC" w14:paraId="27F9DA17" w14:textId="77777777" w:rsidTr="009E10FA">
        <w:tc>
          <w:tcPr>
            <w:tcW w:w="4531" w:type="dxa"/>
            <w:vAlign w:val="center"/>
          </w:tcPr>
          <w:p w14:paraId="5FBC4360" w14:textId="77777777" w:rsidR="00A01EEC" w:rsidRPr="00E16EC1" w:rsidRDefault="00A01EEC" w:rsidP="009E10FA">
            <w:pPr>
              <w:jc w:val="center"/>
              <w:rPr>
                <w:b/>
                <w:bCs/>
              </w:rPr>
            </w:pPr>
            <w:r w:rsidRPr="00E16EC1">
              <w:rPr>
                <w:b/>
                <w:bCs/>
              </w:rPr>
              <w:t>Date de rédaction initiale</w:t>
            </w:r>
          </w:p>
        </w:tc>
        <w:tc>
          <w:tcPr>
            <w:tcW w:w="4531" w:type="dxa"/>
            <w:vAlign w:val="center"/>
          </w:tcPr>
          <w:p w14:paraId="5471ACAA" w14:textId="77777777" w:rsidR="00A01EEC" w:rsidRDefault="00A01EEC" w:rsidP="009E10FA">
            <w:pPr>
              <w:jc w:val="center"/>
            </w:pPr>
            <w:r>
              <w:t>30/08/2021</w:t>
            </w:r>
          </w:p>
        </w:tc>
      </w:tr>
      <w:tr w:rsidR="00A01EEC" w14:paraId="5D14ADF9" w14:textId="77777777" w:rsidTr="009E10FA">
        <w:tc>
          <w:tcPr>
            <w:tcW w:w="4531" w:type="dxa"/>
            <w:vAlign w:val="center"/>
          </w:tcPr>
          <w:p w14:paraId="37306026" w14:textId="77777777" w:rsidR="00A01EEC" w:rsidRPr="00E16EC1" w:rsidRDefault="00A01EEC" w:rsidP="009E10FA">
            <w:pPr>
              <w:jc w:val="center"/>
              <w:rPr>
                <w:b/>
                <w:bCs/>
              </w:rPr>
            </w:pPr>
            <w:r w:rsidRPr="00E16EC1">
              <w:rPr>
                <w:b/>
                <w:bCs/>
              </w:rPr>
              <w:t>Dernière date de révision</w:t>
            </w:r>
          </w:p>
        </w:tc>
        <w:tc>
          <w:tcPr>
            <w:tcW w:w="4531" w:type="dxa"/>
            <w:vAlign w:val="center"/>
          </w:tcPr>
          <w:p w14:paraId="55E569B2" w14:textId="77777777" w:rsidR="00A01EEC" w:rsidRDefault="00A01EEC" w:rsidP="009E10FA">
            <w:pPr>
              <w:jc w:val="center"/>
            </w:pPr>
            <w:r>
              <w:t>30/08/2021</w:t>
            </w:r>
          </w:p>
        </w:tc>
      </w:tr>
      <w:tr w:rsidR="00A01EEC" w14:paraId="21BAB3F7" w14:textId="77777777" w:rsidTr="009E10FA">
        <w:tc>
          <w:tcPr>
            <w:tcW w:w="4531" w:type="dxa"/>
            <w:vAlign w:val="center"/>
          </w:tcPr>
          <w:p w14:paraId="7D632144" w14:textId="77777777" w:rsidR="00A01EEC" w:rsidRPr="00E16EC1" w:rsidRDefault="00A01EEC" w:rsidP="009E10FA">
            <w:pPr>
              <w:jc w:val="center"/>
              <w:rPr>
                <w:b/>
                <w:bCs/>
              </w:rPr>
            </w:pPr>
            <w:r w:rsidRPr="00E16EC1">
              <w:rPr>
                <w:b/>
                <w:bCs/>
              </w:rPr>
              <w:t>N° de version</w:t>
            </w:r>
            <w:r>
              <w:rPr>
                <w:b/>
                <w:bCs/>
              </w:rPr>
              <w:t xml:space="preserve"> actuel</w:t>
            </w:r>
          </w:p>
        </w:tc>
        <w:tc>
          <w:tcPr>
            <w:tcW w:w="4531" w:type="dxa"/>
            <w:vAlign w:val="center"/>
          </w:tcPr>
          <w:p w14:paraId="5F00188D" w14:textId="77777777" w:rsidR="00A01EEC" w:rsidRDefault="00A01EEC" w:rsidP="009E10FA">
            <w:pPr>
              <w:jc w:val="center"/>
            </w:pPr>
            <w:r>
              <w:t>1</w:t>
            </w:r>
          </w:p>
        </w:tc>
      </w:tr>
      <w:tr w:rsidR="00A01EEC" w14:paraId="587AFD58" w14:textId="77777777" w:rsidTr="009E10FA">
        <w:tc>
          <w:tcPr>
            <w:tcW w:w="4531" w:type="dxa"/>
            <w:vAlign w:val="center"/>
          </w:tcPr>
          <w:p w14:paraId="1296BCEF" w14:textId="77777777" w:rsidR="00A01EEC" w:rsidRPr="00E16EC1" w:rsidRDefault="00A01EEC" w:rsidP="009E10FA">
            <w:pPr>
              <w:jc w:val="center"/>
              <w:rPr>
                <w:b/>
                <w:bCs/>
              </w:rPr>
            </w:pPr>
            <w:r w:rsidRPr="00E16EC1">
              <w:rPr>
                <w:b/>
                <w:bCs/>
              </w:rPr>
              <w:t>Nombre de pages</w:t>
            </w:r>
          </w:p>
        </w:tc>
        <w:tc>
          <w:tcPr>
            <w:tcW w:w="4531" w:type="dxa"/>
            <w:vAlign w:val="center"/>
          </w:tcPr>
          <w:p w14:paraId="3BDAEB20" w14:textId="2097947D" w:rsidR="00A01EEC" w:rsidRDefault="00A01EEC" w:rsidP="009E10FA">
            <w:pPr>
              <w:jc w:val="center"/>
            </w:pPr>
            <w:r>
              <w:t>13</w:t>
            </w:r>
          </w:p>
        </w:tc>
      </w:tr>
      <w:tr w:rsidR="00A01EEC" w14:paraId="34D486AA" w14:textId="77777777" w:rsidTr="009E10FA">
        <w:tc>
          <w:tcPr>
            <w:tcW w:w="4531" w:type="dxa"/>
            <w:vAlign w:val="center"/>
          </w:tcPr>
          <w:p w14:paraId="01560731" w14:textId="77777777" w:rsidR="00A01EEC" w:rsidRPr="00E16EC1" w:rsidRDefault="00A01EEC" w:rsidP="009E10FA">
            <w:pPr>
              <w:jc w:val="center"/>
              <w:rPr>
                <w:b/>
                <w:bCs/>
              </w:rPr>
            </w:pPr>
            <w:r w:rsidRPr="00E16EC1">
              <w:rPr>
                <w:b/>
                <w:bCs/>
              </w:rPr>
              <w:t>Date de validation</w:t>
            </w:r>
          </w:p>
        </w:tc>
        <w:tc>
          <w:tcPr>
            <w:tcW w:w="4531" w:type="dxa"/>
            <w:vAlign w:val="center"/>
          </w:tcPr>
          <w:p w14:paraId="5C5E9DB1" w14:textId="77777777" w:rsidR="00A01EEC" w:rsidRDefault="00A01EEC" w:rsidP="009E10FA">
            <w:pPr>
              <w:jc w:val="center"/>
            </w:pPr>
            <w:r>
              <w:t>30/08/2021</w:t>
            </w:r>
          </w:p>
        </w:tc>
      </w:tr>
      <w:tr w:rsidR="00A01EEC" w14:paraId="24AC2277" w14:textId="77777777" w:rsidTr="009E10FA">
        <w:tc>
          <w:tcPr>
            <w:tcW w:w="4531" w:type="dxa"/>
            <w:vAlign w:val="center"/>
          </w:tcPr>
          <w:p w14:paraId="583EF442" w14:textId="77777777" w:rsidR="00A01EEC" w:rsidRPr="00E16EC1" w:rsidRDefault="00A01EEC" w:rsidP="009E10FA">
            <w:pPr>
              <w:jc w:val="center"/>
              <w:rPr>
                <w:b/>
                <w:bCs/>
              </w:rPr>
            </w:pPr>
            <w:r w:rsidRPr="00E16EC1">
              <w:rPr>
                <w:b/>
                <w:bCs/>
              </w:rPr>
              <w:t>Référence du document</w:t>
            </w:r>
          </w:p>
        </w:tc>
        <w:tc>
          <w:tcPr>
            <w:tcW w:w="4531" w:type="dxa"/>
            <w:vAlign w:val="center"/>
          </w:tcPr>
          <w:p w14:paraId="022D7347" w14:textId="7D61870C" w:rsidR="00A01EEC" w:rsidRDefault="00A01EEC" w:rsidP="009E10FA">
            <w:pPr>
              <w:jc w:val="center"/>
            </w:pPr>
            <w:r>
              <w:t>PR. 01 – Protocole de coopération « Odynophagie chez les patients de 6 à 45 ans : protocole de coopération entre médecins généralistes, pharmaciens d’officine et infirmiers diplômés d’état (IDE) »</w:t>
            </w:r>
          </w:p>
        </w:tc>
      </w:tr>
      <w:tr w:rsidR="00A01EEC" w14:paraId="7032BE99" w14:textId="77777777" w:rsidTr="009E10FA">
        <w:tc>
          <w:tcPr>
            <w:tcW w:w="4531" w:type="dxa"/>
            <w:vAlign w:val="center"/>
          </w:tcPr>
          <w:p w14:paraId="7AB3077F" w14:textId="77777777" w:rsidR="00A01EEC" w:rsidRPr="00E16EC1" w:rsidRDefault="00A01EEC" w:rsidP="009E10FA">
            <w:pPr>
              <w:jc w:val="center"/>
              <w:rPr>
                <w:b/>
                <w:bCs/>
              </w:rPr>
            </w:pPr>
            <w:r w:rsidRPr="00E16EC1">
              <w:rPr>
                <w:b/>
                <w:bCs/>
              </w:rPr>
              <w:t>Rédigé par</w:t>
            </w:r>
          </w:p>
        </w:tc>
        <w:tc>
          <w:tcPr>
            <w:tcW w:w="4531" w:type="dxa"/>
            <w:vAlign w:val="center"/>
          </w:tcPr>
          <w:p w14:paraId="413382EE" w14:textId="77777777" w:rsidR="00A01EEC" w:rsidRDefault="00A01EEC" w:rsidP="009E10FA">
            <w:pPr>
              <w:jc w:val="center"/>
            </w:pPr>
            <w:r>
              <w:t>Gaillard Thibault</w:t>
            </w:r>
          </w:p>
        </w:tc>
      </w:tr>
      <w:tr w:rsidR="00A01EEC" w14:paraId="2E851BA8" w14:textId="77777777" w:rsidTr="009E10FA">
        <w:tc>
          <w:tcPr>
            <w:tcW w:w="4531" w:type="dxa"/>
            <w:vAlign w:val="center"/>
          </w:tcPr>
          <w:p w14:paraId="65C6E120" w14:textId="77777777" w:rsidR="00A01EEC" w:rsidRPr="00E16EC1" w:rsidRDefault="00A01EEC" w:rsidP="009E10FA">
            <w:pPr>
              <w:jc w:val="center"/>
              <w:rPr>
                <w:b/>
                <w:bCs/>
              </w:rPr>
            </w:pPr>
            <w:r w:rsidRPr="00E16EC1">
              <w:rPr>
                <w:b/>
                <w:bCs/>
              </w:rPr>
              <w:t>Accepté par</w:t>
            </w:r>
          </w:p>
        </w:tc>
        <w:tc>
          <w:tcPr>
            <w:tcW w:w="4531" w:type="dxa"/>
            <w:vAlign w:val="center"/>
          </w:tcPr>
          <w:p w14:paraId="19B7780C" w14:textId="77777777" w:rsidR="00A01EEC" w:rsidRDefault="00A01EEC" w:rsidP="009E10FA">
            <w:pPr>
              <w:jc w:val="center"/>
            </w:pPr>
          </w:p>
        </w:tc>
      </w:tr>
    </w:tbl>
    <w:p w14:paraId="4382D7D2" w14:textId="77777777" w:rsidR="00A01EEC" w:rsidRDefault="00A01EEC" w:rsidP="00A01EEC">
      <w:pPr>
        <w:pStyle w:val="Titre1"/>
      </w:pPr>
      <w:r>
        <w:t>Historique</w:t>
      </w:r>
    </w:p>
    <w:tbl>
      <w:tblPr>
        <w:tblStyle w:val="Grilledutableau"/>
        <w:tblW w:w="0" w:type="auto"/>
        <w:tblLook w:val="04A0" w:firstRow="1" w:lastRow="0" w:firstColumn="1" w:lastColumn="0" w:noHBand="0" w:noVBand="1"/>
      </w:tblPr>
      <w:tblGrid>
        <w:gridCol w:w="3020"/>
        <w:gridCol w:w="3021"/>
        <w:gridCol w:w="3021"/>
      </w:tblGrid>
      <w:tr w:rsidR="00A01EEC" w14:paraId="21E7825A" w14:textId="77777777" w:rsidTr="009E10FA">
        <w:trPr>
          <w:trHeight w:val="624"/>
        </w:trPr>
        <w:tc>
          <w:tcPr>
            <w:tcW w:w="3020" w:type="dxa"/>
            <w:vAlign w:val="center"/>
          </w:tcPr>
          <w:p w14:paraId="0D9E5A53" w14:textId="77777777" w:rsidR="00A01EEC" w:rsidRPr="00221D81" w:rsidRDefault="00A01EEC" w:rsidP="009E10FA">
            <w:pPr>
              <w:jc w:val="center"/>
              <w:rPr>
                <w:b/>
                <w:bCs/>
              </w:rPr>
            </w:pPr>
            <w:r w:rsidRPr="00221D81">
              <w:rPr>
                <w:b/>
                <w:bCs/>
              </w:rPr>
              <w:t>N° de version</w:t>
            </w:r>
          </w:p>
        </w:tc>
        <w:tc>
          <w:tcPr>
            <w:tcW w:w="3021" w:type="dxa"/>
            <w:vAlign w:val="center"/>
          </w:tcPr>
          <w:p w14:paraId="0EFBDD20" w14:textId="77777777" w:rsidR="00A01EEC" w:rsidRPr="00221D81" w:rsidRDefault="00A01EEC" w:rsidP="009E10FA">
            <w:pPr>
              <w:jc w:val="center"/>
              <w:rPr>
                <w:b/>
                <w:bCs/>
              </w:rPr>
            </w:pPr>
            <w:r w:rsidRPr="00221D81">
              <w:rPr>
                <w:b/>
                <w:bCs/>
              </w:rPr>
              <w:t>Date de modification</w:t>
            </w:r>
          </w:p>
        </w:tc>
        <w:tc>
          <w:tcPr>
            <w:tcW w:w="3021" w:type="dxa"/>
            <w:vAlign w:val="center"/>
          </w:tcPr>
          <w:p w14:paraId="6F5EC63A" w14:textId="77777777" w:rsidR="00A01EEC" w:rsidRPr="00221D81" w:rsidRDefault="00A01EEC" w:rsidP="009E10FA">
            <w:pPr>
              <w:jc w:val="center"/>
              <w:rPr>
                <w:b/>
                <w:bCs/>
              </w:rPr>
            </w:pPr>
            <w:r w:rsidRPr="00221D81">
              <w:rPr>
                <w:b/>
                <w:bCs/>
              </w:rPr>
              <w:t>Modifications apportée</w:t>
            </w:r>
          </w:p>
        </w:tc>
      </w:tr>
      <w:tr w:rsidR="00A01EEC" w14:paraId="200A149E" w14:textId="77777777" w:rsidTr="009E10FA">
        <w:trPr>
          <w:trHeight w:val="624"/>
        </w:trPr>
        <w:tc>
          <w:tcPr>
            <w:tcW w:w="3020" w:type="dxa"/>
          </w:tcPr>
          <w:p w14:paraId="49808419" w14:textId="77777777" w:rsidR="00A01EEC" w:rsidRDefault="00A01EEC" w:rsidP="009E10FA"/>
        </w:tc>
        <w:tc>
          <w:tcPr>
            <w:tcW w:w="3021" w:type="dxa"/>
          </w:tcPr>
          <w:p w14:paraId="62587EE8" w14:textId="77777777" w:rsidR="00A01EEC" w:rsidRDefault="00A01EEC" w:rsidP="009E10FA"/>
        </w:tc>
        <w:tc>
          <w:tcPr>
            <w:tcW w:w="3021" w:type="dxa"/>
          </w:tcPr>
          <w:p w14:paraId="78098396" w14:textId="77777777" w:rsidR="00A01EEC" w:rsidRDefault="00A01EEC" w:rsidP="009E10FA"/>
        </w:tc>
      </w:tr>
      <w:tr w:rsidR="00A01EEC" w14:paraId="1E04CED1" w14:textId="77777777" w:rsidTr="009E10FA">
        <w:trPr>
          <w:trHeight w:val="624"/>
        </w:trPr>
        <w:tc>
          <w:tcPr>
            <w:tcW w:w="3020" w:type="dxa"/>
          </w:tcPr>
          <w:p w14:paraId="3DC5C671" w14:textId="77777777" w:rsidR="00A01EEC" w:rsidRDefault="00A01EEC" w:rsidP="009E10FA"/>
        </w:tc>
        <w:tc>
          <w:tcPr>
            <w:tcW w:w="3021" w:type="dxa"/>
          </w:tcPr>
          <w:p w14:paraId="675ABD1B" w14:textId="77777777" w:rsidR="00A01EEC" w:rsidRDefault="00A01EEC" w:rsidP="009E10FA"/>
        </w:tc>
        <w:tc>
          <w:tcPr>
            <w:tcW w:w="3021" w:type="dxa"/>
          </w:tcPr>
          <w:p w14:paraId="1F15AFC5" w14:textId="77777777" w:rsidR="00A01EEC" w:rsidRDefault="00A01EEC" w:rsidP="009E10FA"/>
        </w:tc>
      </w:tr>
      <w:tr w:rsidR="00A01EEC" w14:paraId="14767156" w14:textId="77777777" w:rsidTr="009E10FA">
        <w:trPr>
          <w:trHeight w:val="624"/>
        </w:trPr>
        <w:tc>
          <w:tcPr>
            <w:tcW w:w="3020" w:type="dxa"/>
          </w:tcPr>
          <w:p w14:paraId="397EEEE2" w14:textId="77777777" w:rsidR="00A01EEC" w:rsidRDefault="00A01EEC" w:rsidP="009E10FA"/>
        </w:tc>
        <w:tc>
          <w:tcPr>
            <w:tcW w:w="3021" w:type="dxa"/>
          </w:tcPr>
          <w:p w14:paraId="559F2E77" w14:textId="77777777" w:rsidR="00A01EEC" w:rsidRDefault="00A01EEC" w:rsidP="009E10FA"/>
        </w:tc>
        <w:tc>
          <w:tcPr>
            <w:tcW w:w="3021" w:type="dxa"/>
          </w:tcPr>
          <w:p w14:paraId="56C66751" w14:textId="77777777" w:rsidR="00A01EEC" w:rsidRDefault="00A01EEC" w:rsidP="009E10FA"/>
        </w:tc>
      </w:tr>
      <w:tr w:rsidR="00A01EEC" w14:paraId="257895DD" w14:textId="77777777" w:rsidTr="009E10FA">
        <w:trPr>
          <w:trHeight w:val="624"/>
        </w:trPr>
        <w:tc>
          <w:tcPr>
            <w:tcW w:w="3020" w:type="dxa"/>
          </w:tcPr>
          <w:p w14:paraId="1EE69ABB" w14:textId="77777777" w:rsidR="00A01EEC" w:rsidRDefault="00A01EEC" w:rsidP="009E10FA"/>
        </w:tc>
        <w:tc>
          <w:tcPr>
            <w:tcW w:w="3021" w:type="dxa"/>
          </w:tcPr>
          <w:p w14:paraId="0FCAAB0A" w14:textId="77777777" w:rsidR="00A01EEC" w:rsidRDefault="00A01EEC" w:rsidP="009E10FA"/>
        </w:tc>
        <w:tc>
          <w:tcPr>
            <w:tcW w:w="3021" w:type="dxa"/>
          </w:tcPr>
          <w:p w14:paraId="6D104D76" w14:textId="77777777" w:rsidR="00A01EEC" w:rsidRDefault="00A01EEC" w:rsidP="009E10FA"/>
        </w:tc>
      </w:tr>
    </w:tbl>
    <w:p w14:paraId="1E1A0BA4" w14:textId="77777777" w:rsidR="00A01EEC" w:rsidRPr="00295E96" w:rsidRDefault="00A01EEC" w:rsidP="00A01EEC"/>
    <w:p w14:paraId="75FF6510" w14:textId="4DDD825A" w:rsidR="00D03EDC" w:rsidRPr="004344C2" w:rsidRDefault="00D03EDC" w:rsidP="00A01EEC"/>
    <w:sectPr w:rsidR="00D03EDC" w:rsidRPr="00434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666"/>
    <w:multiLevelType w:val="hybridMultilevel"/>
    <w:tmpl w:val="1C9E5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D14BF"/>
    <w:multiLevelType w:val="hybridMultilevel"/>
    <w:tmpl w:val="E52426AE"/>
    <w:lvl w:ilvl="0" w:tplc="A7C47C8E">
      <w:start w:val="1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1B4751"/>
    <w:multiLevelType w:val="hybridMultilevel"/>
    <w:tmpl w:val="607C0354"/>
    <w:lvl w:ilvl="0" w:tplc="A7C47C8E">
      <w:start w:val="1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8371A2"/>
    <w:multiLevelType w:val="hybridMultilevel"/>
    <w:tmpl w:val="42DA1016"/>
    <w:lvl w:ilvl="0" w:tplc="A7C47C8E">
      <w:start w:val="12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5C117E"/>
    <w:multiLevelType w:val="hybridMultilevel"/>
    <w:tmpl w:val="9FAACBFC"/>
    <w:lvl w:ilvl="0" w:tplc="39062CFC">
      <w:start w:val="1"/>
      <w:numFmt w:val="bullet"/>
      <w:lvlText w:val="•"/>
      <w:lvlJc w:val="left"/>
      <w:pPr>
        <w:tabs>
          <w:tab w:val="num" w:pos="720"/>
        </w:tabs>
        <w:ind w:left="720" w:hanging="360"/>
      </w:pPr>
      <w:rPr>
        <w:rFonts w:ascii="Arial" w:hAnsi="Arial" w:hint="default"/>
      </w:rPr>
    </w:lvl>
    <w:lvl w:ilvl="1" w:tplc="2ECA7BDA" w:tentative="1">
      <w:start w:val="1"/>
      <w:numFmt w:val="bullet"/>
      <w:lvlText w:val="•"/>
      <w:lvlJc w:val="left"/>
      <w:pPr>
        <w:tabs>
          <w:tab w:val="num" w:pos="1440"/>
        </w:tabs>
        <w:ind w:left="1440" w:hanging="360"/>
      </w:pPr>
      <w:rPr>
        <w:rFonts w:ascii="Arial" w:hAnsi="Arial" w:hint="default"/>
      </w:rPr>
    </w:lvl>
    <w:lvl w:ilvl="2" w:tplc="B76E8210" w:tentative="1">
      <w:start w:val="1"/>
      <w:numFmt w:val="bullet"/>
      <w:lvlText w:val="•"/>
      <w:lvlJc w:val="left"/>
      <w:pPr>
        <w:tabs>
          <w:tab w:val="num" w:pos="2160"/>
        </w:tabs>
        <w:ind w:left="2160" w:hanging="360"/>
      </w:pPr>
      <w:rPr>
        <w:rFonts w:ascii="Arial" w:hAnsi="Arial" w:hint="default"/>
      </w:rPr>
    </w:lvl>
    <w:lvl w:ilvl="3" w:tplc="44644076" w:tentative="1">
      <w:start w:val="1"/>
      <w:numFmt w:val="bullet"/>
      <w:lvlText w:val="•"/>
      <w:lvlJc w:val="left"/>
      <w:pPr>
        <w:tabs>
          <w:tab w:val="num" w:pos="2880"/>
        </w:tabs>
        <w:ind w:left="2880" w:hanging="360"/>
      </w:pPr>
      <w:rPr>
        <w:rFonts w:ascii="Arial" w:hAnsi="Arial" w:hint="default"/>
      </w:rPr>
    </w:lvl>
    <w:lvl w:ilvl="4" w:tplc="3B0C8DEE" w:tentative="1">
      <w:start w:val="1"/>
      <w:numFmt w:val="bullet"/>
      <w:lvlText w:val="•"/>
      <w:lvlJc w:val="left"/>
      <w:pPr>
        <w:tabs>
          <w:tab w:val="num" w:pos="3600"/>
        </w:tabs>
        <w:ind w:left="3600" w:hanging="360"/>
      </w:pPr>
      <w:rPr>
        <w:rFonts w:ascii="Arial" w:hAnsi="Arial" w:hint="default"/>
      </w:rPr>
    </w:lvl>
    <w:lvl w:ilvl="5" w:tplc="6ADA93CC" w:tentative="1">
      <w:start w:val="1"/>
      <w:numFmt w:val="bullet"/>
      <w:lvlText w:val="•"/>
      <w:lvlJc w:val="left"/>
      <w:pPr>
        <w:tabs>
          <w:tab w:val="num" w:pos="4320"/>
        </w:tabs>
        <w:ind w:left="4320" w:hanging="360"/>
      </w:pPr>
      <w:rPr>
        <w:rFonts w:ascii="Arial" w:hAnsi="Arial" w:hint="default"/>
      </w:rPr>
    </w:lvl>
    <w:lvl w:ilvl="6" w:tplc="7F08D5E6" w:tentative="1">
      <w:start w:val="1"/>
      <w:numFmt w:val="bullet"/>
      <w:lvlText w:val="•"/>
      <w:lvlJc w:val="left"/>
      <w:pPr>
        <w:tabs>
          <w:tab w:val="num" w:pos="5040"/>
        </w:tabs>
        <w:ind w:left="5040" w:hanging="360"/>
      </w:pPr>
      <w:rPr>
        <w:rFonts w:ascii="Arial" w:hAnsi="Arial" w:hint="default"/>
      </w:rPr>
    </w:lvl>
    <w:lvl w:ilvl="7" w:tplc="9190CA36" w:tentative="1">
      <w:start w:val="1"/>
      <w:numFmt w:val="bullet"/>
      <w:lvlText w:val="•"/>
      <w:lvlJc w:val="left"/>
      <w:pPr>
        <w:tabs>
          <w:tab w:val="num" w:pos="5760"/>
        </w:tabs>
        <w:ind w:left="5760" w:hanging="360"/>
      </w:pPr>
      <w:rPr>
        <w:rFonts w:ascii="Arial" w:hAnsi="Arial" w:hint="default"/>
      </w:rPr>
    </w:lvl>
    <w:lvl w:ilvl="8" w:tplc="FA5C37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3A"/>
    <w:rsid w:val="0013146F"/>
    <w:rsid w:val="00141860"/>
    <w:rsid w:val="00156E47"/>
    <w:rsid w:val="0017009D"/>
    <w:rsid w:val="00170A91"/>
    <w:rsid w:val="00185204"/>
    <w:rsid w:val="001B7A4C"/>
    <w:rsid w:val="002031C7"/>
    <w:rsid w:val="00220EE2"/>
    <w:rsid w:val="002275B8"/>
    <w:rsid w:val="00237C9E"/>
    <w:rsid w:val="00284886"/>
    <w:rsid w:val="00293269"/>
    <w:rsid w:val="002B4AC6"/>
    <w:rsid w:val="002B5BA1"/>
    <w:rsid w:val="00323535"/>
    <w:rsid w:val="00395AF9"/>
    <w:rsid w:val="00424705"/>
    <w:rsid w:val="004344C2"/>
    <w:rsid w:val="00477800"/>
    <w:rsid w:val="004845F1"/>
    <w:rsid w:val="0048583A"/>
    <w:rsid w:val="00490A69"/>
    <w:rsid w:val="004E47A0"/>
    <w:rsid w:val="00533077"/>
    <w:rsid w:val="005B0799"/>
    <w:rsid w:val="005F2205"/>
    <w:rsid w:val="005F40EB"/>
    <w:rsid w:val="006266C4"/>
    <w:rsid w:val="006A65C3"/>
    <w:rsid w:val="006D3BF4"/>
    <w:rsid w:val="0070438B"/>
    <w:rsid w:val="0072324B"/>
    <w:rsid w:val="00741F25"/>
    <w:rsid w:val="00755C5F"/>
    <w:rsid w:val="007C1EBE"/>
    <w:rsid w:val="007E236A"/>
    <w:rsid w:val="00835607"/>
    <w:rsid w:val="00837A50"/>
    <w:rsid w:val="00852DF3"/>
    <w:rsid w:val="008A7883"/>
    <w:rsid w:val="0094697D"/>
    <w:rsid w:val="009A1D0C"/>
    <w:rsid w:val="00A01EEC"/>
    <w:rsid w:val="00A17256"/>
    <w:rsid w:val="00A24106"/>
    <w:rsid w:val="00A3056C"/>
    <w:rsid w:val="00A433AA"/>
    <w:rsid w:val="00AB4521"/>
    <w:rsid w:val="00AE63F0"/>
    <w:rsid w:val="00AF3240"/>
    <w:rsid w:val="00B00D58"/>
    <w:rsid w:val="00B0274F"/>
    <w:rsid w:val="00B6133D"/>
    <w:rsid w:val="00B90E3C"/>
    <w:rsid w:val="00B912F0"/>
    <w:rsid w:val="00BF356A"/>
    <w:rsid w:val="00C44C10"/>
    <w:rsid w:val="00C600E1"/>
    <w:rsid w:val="00C64978"/>
    <w:rsid w:val="00CA0E49"/>
    <w:rsid w:val="00D0326C"/>
    <w:rsid w:val="00D03EDC"/>
    <w:rsid w:val="00D32883"/>
    <w:rsid w:val="00D42FFE"/>
    <w:rsid w:val="00D97155"/>
    <w:rsid w:val="00DC3FC5"/>
    <w:rsid w:val="00DC638A"/>
    <w:rsid w:val="00DF5F9A"/>
    <w:rsid w:val="00E0291D"/>
    <w:rsid w:val="00E208BA"/>
    <w:rsid w:val="00E67002"/>
    <w:rsid w:val="00E67E8E"/>
    <w:rsid w:val="00ED2290"/>
    <w:rsid w:val="00F10CC3"/>
    <w:rsid w:val="00F95136"/>
    <w:rsid w:val="00FA3738"/>
    <w:rsid w:val="00FC2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F0AE"/>
  <w15:chartTrackingRefBased/>
  <w15:docId w15:val="{D07160E6-DE59-F74A-8AB7-18B11B75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EE2"/>
    <w:pPr>
      <w:jc w:val="both"/>
    </w:pPr>
  </w:style>
  <w:style w:type="paragraph" w:styleId="Titre1">
    <w:name w:val="heading 1"/>
    <w:basedOn w:val="Normal"/>
    <w:next w:val="Normal"/>
    <w:link w:val="Titre1Car"/>
    <w:uiPriority w:val="9"/>
    <w:qFormat/>
    <w:rsid w:val="007E23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C3FC5"/>
    <w:pPr>
      <w:ind w:left="720"/>
      <w:contextualSpacing/>
    </w:pPr>
  </w:style>
  <w:style w:type="character" w:styleId="Lienhypertexte">
    <w:name w:val="Hyperlink"/>
    <w:basedOn w:val="Policepardfaut"/>
    <w:uiPriority w:val="99"/>
    <w:unhideWhenUsed/>
    <w:rsid w:val="00E0291D"/>
    <w:rPr>
      <w:color w:val="0563C1" w:themeColor="hyperlink"/>
      <w:u w:val="single"/>
    </w:rPr>
  </w:style>
  <w:style w:type="character" w:styleId="Mentionnonrsolue">
    <w:name w:val="Unresolved Mention"/>
    <w:basedOn w:val="Policepardfaut"/>
    <w:uiPriority w:val="99"/>
    <w:semiHidden/>
    <w:unhideWhenUsed/>
    <w:rsid w:val="00E0291D"/>
    <w:rPr>
      <w:color w:val="605E5C"/>
      <w:shd w:val="clear" w:color="auto" w:fill="E1DFDD"/>
    </w:rPr>
  </w:style>
  <w:style w:type="paragraph" w:styleId="Titre">
    <w:name w:val="Title"/>
    <w:basedOn w:val="Normal"/>
    <w:next w:val="Normal"/>
    <w:link w:val="TitreCar"/>
    <w:uiPriority w:val="10"/>
    <w:qFormat/>
    <w:rsid w:val="00B0274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0274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E236A"/>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227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5272">
      <w:bodyDiv w:val="1"/>
      <w:marLeft w:val="0"/>
      <w:marRight w:val="0"/>
      <w:marTop w:val="0"/>
      <w:marBottom w:val="0"/>
      <w:divBdr>
        <w:top w:val="none" w:sz="0" w:space="0" w:color="auto"/>
        <w:left w:val="none" w:sz="0" w:space="0" w:color="auto"/>
        <w:bottom w:val="none" w:sz="0" w:space="0" w:color="auto"/>
        <w:right w:val="none" w:sz="0" w:space="0" w:color="auto"/>
      </w:divBdr>
    </w:div>
    <w:div w:id="17449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campus.cerimes.fr/orl/enseignement/angine/sit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dre.pharmacien.fr/Les-pharmaciens/Le-metier-du-pharmacien/Les-fiches-professionnelles/Toutes-les-fiches/Les-tests-rapides-d-orientation-diagnostique-TROD-et-d-evaluation-autorises-a-l-officine/(language)/fre-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34FB-E1AE-F64A-8E5A-91CAC15D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14</Pages>
  <Words>3092</Words>
  <Characters>17255</Characters>
  <Application>Microsoft Office Word</Application>
  <DocSecurity>0</DocSecurity>
  <Lines>410</Lines>
  <Paragraphs>231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Gaillard</dc:creator>
  <cp:keywords/>
  <dc:description/>
  <cp:lastModifiedBy>Thibault Gaillard</cp:lastModifiedBy>
  <cp:revision>39</cp:revision>
  <cp:lastPrinted>2021-04-20T14:49:00Z</cp:lastPrinted>
  <dcterms:created xsi:type="dcterms:W3CDTF">2021-04-12T13:37:00Z</dcterms:created>
  <dcterms:modified xsi:type="dcterms:W3CDTF">2021-11-07T14:07:00Z</dcterms:modified>
</cp:coreProperties>
</file>